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lang w:val="pt-BR"/>
              </w:rPr>
            </w:pPr>
            <w:r>
              <w:rPr>
                <w:rFonts w:hint="default" w:ascii="Segoe UI" w:hAnsi="Segoe UI" w:eastAsia="Times New Roman" w:cs="Times New Roman"/>
                <w:sz w:val="18"/>
                <w:szCs w:val="18"/>
                <w:lang w:val="pt-BR"/>
              </w:rPr>
              <w:t>PHOENIX</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highlight w:val="none"/>
                <w:lang w:val="pt-BR"/>
              </w:rPr>
            </w:pPr>
            <w:r>
              <w:rPr>
                <w:rFonts w:ascii="Segoe UI" w:hAnsi="Segoe UI" w:cs="Segoe UI"/>
                <w:sz w:val="16"/>
                <w:szCs w:val="16"/>
                <w:highlight w:val="none"/>
              </w:rPr>
              <w:t>Product Code:</w:t>
            </w:r>
          </w:p>
        </w:tc>
        <w:tc>
          <w:tcPr>
            <w:tcW w:w="8082" w:type="dxa"/>
            <w:shd w:val="clear" w:color="auto" w:fill="auto"/>
            <w:vAlign w:val="top"/>
          </w:tcPr>
          <w:p w14:paraId="49E44A6B">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825344</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00586350">
            <w:pPr>
              <w:rPr>
                <w:rFonts w:hint="default" w:ascii="Segoe UI" w:hAnsi="Segoe UI"/>
                <w:sz w:val="16"/>
                <w:szCs w:val="16"/>
                <w:lang w:val="en-US"/>
              </w:rPr>
            </w:pPr>
            <w:r>
              <w:rPr>
                <w:rFonts w:hint="default" w:ascii="Segoe UI" w:hAnsi="Segoe UI"/>
                <w:sz w:val="16"/>
                <w:szCs w:val="16"/>
                <w:lang w:val="en-US"/>
              </w:rPr>
              <w:t>Skin irritation, Category 2</w:t>
            </w:r>
          </w:p>
          <w:p w14:paraId="646F60AE">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5B9A07CF">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28D6BD62">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7AD6F9F1">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806"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5763C175">
            <w:pPr>
              <w:rPr>
                <w:rFonts w:hint="default" w:ascii="Segoe UI" w:hAnsi="Segoe UI"/>
                <w:sz w:val="16"/>
                <w:szCs w:val="16"/>
                <w:lang w:val="en-US"/>
              </w:rPr>
            </w:pPr>
            <w:r>
              <w:rPr>
                <w:rFonts w:hint="default" w:ascii="Segoe UI" w:hAnsi="Segoe UI"/>
                <w:sz w:val="16"/>
                <w:szCs w:val="16"/>
                <w:lang w:val="en-US"/>
              </w:rPr>
              <w:t>Causes skin irritation.</w:t>
            </w:r>
          </w:p>
          <w:p w14:paraId="47B9600F">
            <w:pPr>
              <w:rPr>
                <w:rFonts w:hint="default" w:ascii="Segoe UI" w:hAnsi="Segoe UI"/>
                <w:sz w:val="16"/>
                <w:szCs w:val="16"/>
                <w:lang w:val="en-US"/>
              </w:rPr>
            </w:pPr>
            <w:r>
              <w:rPr>
                <w:rFonts w:hint="default" w:ascii="Segoe UI" w:hAnsi="Segoe UI"/>
                <w:sz w:val="16"/>
                <w:szCs w:val="16"/>
                <w:lang w:val="en-US"/>
              </w:rPr>
              <w:t>May cause an allergic skin reaction.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highlight w:val="none"/>
              </w:rPr>
              <w:t>2</w:t>
            </w:r>
            <w:r>
              <w:rPr>
                <w:rFonts w:hint="default" w:ascii="Segoe UI" w:hAnsi="Segoe UI"/>
                <w:sz w:val="16"/>
                <w:szCs w:val="16"/>
                <w:highlight w:val="none"/>
                <w:lang w:val="pt-BR"/>
              </w:rPr>
              <w:t>22.80</w:t>
            </w:r>
            <w:r>
              <w:rPr>
                <w:rFonts w:hint="default" w:ascii="Segoe UI" w:hAnsi="Segoe UI"/>
                <w:sz w:val="16"/>
                <w:szCs w:val="16"/>
                <w:highlight w:val="none"/>
              </w:rPr>
              <w:t xml:space="preserve"> °F (1</w:t>
            </w:r>
            <w:r>
              <w:rPr>
                <w:rFonts w:hint="default" w:ascii="Segoe UI" w:hAnsi="Segoe UI"/>
                <w:sz w:val="16"/>
                <w:szCs w:val="16"/>
                <w:highlight w:val="none"/>
                <w:lang w:val="pt-BR"/>
              </w:rPr>
              <w:t>06.00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00F8C636">
                  <w:pPr>
                    <w:pStyle w:val="11"/>
                    <w:spacing w:line="224" w:lineRule="exact"/>
                    <w:ind w:left="98" w:right="78"/>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1,2-</w:t>
                  </w:r>
                </w:p>
                <w:p w14:paraId="79FD9168">
                  <w:pPr>
                    <w:pStyle w:val="11"/>
                    <w:spacing w:line="230" w:lineRule="exact"/>
                    <w:ind w:left="93" w:leftChars="0" w:right="78"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Benzenedicarboxyli c acid, diethyl ester</w:t>
                  </w:r>
                </w:p>
              </w:tc>
              <w:tc>
                <w:tcPr>
                  <w:tcW w:w="2580" w:type="dxa"/>
                  <w:vAlign w:val="top"/>
                </w:tcPr>
                <w:p w14:paraId="43292907">
                  <w:pPr>
                    <w:pStyle w:val="11"/>
                    <w:spacing w:line="237" w:lineRule="auto"/>
                    <w:ind w:left="967" w:leftChars="0" w:right="0" w:rightChars="0" w:hanging="680" w:firstLineChars="0"/>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ACGIH Threshold Limit Values (TLV)</w:t>
                  </w:r>
                </w:p>
              </w:tc>
              <w:tc>
                <w:tcPr>
                  <w:tcW w:w="2574" w:type="dxa"/>
                  <w:vAlign w:val="top"/>
                </w:tcPr>
                <w:p w14:paraId="77E7540A">
                  <w:pPr>
                    <w:pStyle w:val="11"/>
                    <w:spacing w:line="225" w:lineRule="exact"/>
                    <w:ind w:left="8"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8-hour, time-weighted average</w:t>
                  </w:r>
                </w:p>
              </w:tc>
              <w:tc>
                <w:tcPr>
                  <w:tcW w:w="2672" w:type="dxa"/>
                  <w:vAlign w:val="top"/>
                </w:tcPr>
                <w:p w14:paraId="3C14FCA7">
                  <w:pPr>
                    <w:pStyle w:val="11"/>
                    <w:spacing w:line="225" w:lineRule="exact"/>
                    <w:ind w:left="8"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5 mg/m3</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6B75B644">
                  <w:pPr>
                    <w:pStyle w:val="11"/>
                    <w:spacing w:line="223" w:lineRule="exact"/>
                    <w:ind w:left="98" w:right="78"/>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1,2-</w:t>
                  </w:r>
                </w:p>
                <w:p w14:paraId="772256A3">
                  <w:pPr>
                    <w:pStyle w:val="11"/>
                    <w:ind w:left="93" w:leftChars="0" w:right="78"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Benzenedicarboxyli c acid, diethyl ester</w:t>
                  </w:r>
                </w:p>
              </w:tc>
              <w:tc>
                <w:tcPr>
                  <w:tcW w:w="2580" w:type="dxa"/>
                  <w:vAlign w:val="top"/>
                </w:tcPr>
                <w:p w14:paraId="504A151C">
                  <w:pPr>
                    <w:pStyle w:val="11"/>
                    <w:ind w:left="869" w:leftChars="0" w:right="0" w:rightChars="0" w:hanging="517" w:firstLineChars="0"/>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NIOSH Recommended Exposure Limits</w:t>
                  </w:r>
                </w:p>
              </w:tc>
              <w:tc>
                <w:tcPr>
                  <w:tcW w:w="2574" w:type="dxa"/>
                  <w:vAlign w:val="top"/>
                </w:tcPr>
                <w:p w14:paraId="249B9E57">
                  <w:pPr>
                    <w:pStyle w:val="11"/>
                    <w:ind w:left="71" w:right="57" w:hanging="1"/>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Time-weighted average concentration for up to a 10-hour workday during a 40-hour</w:t>
                  </w:r>
                </w:p>
                <w:p w14:paraId="35888C6B">
                  <w:pPr>
                    <w:pStyle w:val="11"/>
                    <w:spacing w:line="217" w:lineRule="exact"/>
                    <w:ind w:left="8"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workweek</w:t>
                  </w:r>
                </w:p>
              </w:tc>
              <w:tc>
                <w:tcPr>
                  <w:tcW w:w="2672" w:type="dxa"/>
                  <w:vAlign w:val="top"/>
                </w:tcPr>
                <w:p w14:paraId="48278934">
                  <w:pPr>
                    <w:pStyle w:val="11"/>
                    <w:spacing w:line="223" w:lineRule="exact"/>
                    <w:ind w:left="8"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5 mg/m3</w:t>
                  </w:r>
                </w:p>
              </w:tc>
            </w:tr>
            <w:tr w14:paraId="2E3C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55987D6A">
                  <w:pPr>
                    <w:pStyle w:val="11"/>
                    <w:spacing w:line="223" w:lineRule="exact"/>
                    <w:ind w:left="98" w:right="78"/>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1,2-</w:t>
                  </w:r>
                </w:p>
                <w:p w14:paraId="4BA877B6">
                  <w:pPr>
                    <w:pStyle w:val="11"/>
                    <w:spacing w:line="228" w:lineRule="exact"/>
                    <w:ind w:left="93" w:leftChars="0" w:right="78"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Benzenedicarboxyli c acid, diethyl ester</w:t>
                  </w:r>
                </w:p>
              </w:tc>
              <w:tc>
                <w:tcPr>
                  <w:tcW w:w="2580" w:type="dxa"/>
                  <w:vAlign w:val="top"/>
                </w:tcPr>
                <w:p w14:paraId="5D1293BB">
                  <w:pPr>
                    <w:pStyle w:val="11"/>
                    <w:ind w:left="74" w:leftChars="0" w:right="0" w:rightChars="0" w:firstLine="120" w:firstLineChars="0"/>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Table Z-1-A Limits for Air Contaminants (1989 vacated values)</w:t>
                  </w:r>
                </w:p>
              </w:tc>
              <w:tc>
                <w:tcPr>
                  <w:tcW w:w="2574" w:type="dxa"/>
                  <w:vAlign w:val="top"/>
                </w:tcPr>
                <w:p w14:paraId="33C5E8E8">
                  <w:pPr>
                    <w:pStyle w:val="11"/>
                    <w:spacing w:line="223" w:lineRule="exact"/>
                    <w:ind w:left="8" w:leftChars="0" w:right="3"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8-hour time weighted average</w:t>
                  </w:r>
                </w:p>
              </w:tc>
              <w:tc>
                <w:tcPr>
                  <w:tcW w:w="2672" w:type="dxa"/>
                  <w:vAlign w:val="top"/>
                </w:tcPr>
                <w:p w14:paraId="2ACFE14A">
                  <w:pPr>
                    <w:pStyle w:val="11"/>
                    <w:spacing w:line="223" w:lineRule="exact"/>
                    <w:ind w:left="8" w:leftChars="0" w:right="0"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5 mg/m3</w:t>
                  </w:r>
                </w:p>
              </w:tc>
            </w:tr>
            <w:tr w14:paraId="066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3861BC6E">
                  <w:pPr>
                    <w:pStyle w:val="11"/>
                    <w:spacing w:line="224" w:lineRule="exact"/>
                    <w:ind w:left="98" w:right="78"/>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1,2-</w:t>
                  </w:r>
                </w:p>
                <w:p w14:paraId="7FA50A53">
                  <w:pPr>
                    <w:pStyle w:val="11"/>
                    <w:spacing w:line="230" w:lineRule="exact"/>
                    <w:ind w:left="93" w:leftChars="0" w:right="78"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Benzenedicarboxyli c acid, diethyl ester</w:t>
                  </w:r>
                </w:p>
              </w:tc>
              <w:tc>
                <w:tcPr>
                  <w:tcW w:w="2580" w:type="dxa"/>
                  <w:vAlign w:val="top"/>
                </w:tcPr>
                <w:p w14:paraId="6169913D">
                  <w:pPr>
                    <w:pStyle w:val="11"/>
                    <w:spacing w:line="237" w:lineRule="auto"/>
                    <w:ind w:left="218" w:right="202" w:firstLine="1"/>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California permissible exposure limits for chemical contaminants</w:t>
                  </w:r>
                </w:p>
                <w:p w14:paraId="305D17DD">
                  <w:pPr>
                    <w:pStyle w:val="11"/>
                    <w:spacing w:line="217" w:lineRule="exact"/>
                    <w:ind w:left="16" w:leftChars="0" w:right="0"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(Title 8, Article 107)</w:t>
                  </w:r>
                </w:p>
              </w:tc>
              <w:tc>
                <w:tcPr>
                  <w:tcW w:w="2574" w:type="dxa"/>
                  <w:vAlign w:val="top"/>
                </w:tcPr>
                <w:p w14:paraId="0EE78C12">
                  <w:pPr>
                    <w:pStyle w:val="11"/>
                    <w:spacing w:line="225" w:lineRule="exact"/>
                    <w:ind w:left="8" w:leftChars="0" w:right="3"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Permissible exposure limit</w:t>
                  </w:r>
                </w:p>
              </w:tc>
              <w:tc>
                <w:tcPr>
                  <w:tcW w:w="2672" w:type="dxa"/>
                  <w:vAlign w:val="top"/>
                </w:tcPr>
                <w:p w14:paraId="66137DA6">
                  <w:pPr>
                    <w:pStyle w:val="11"/>
                    <w:spacing w:line="225" w:lineRule="exact"/>
                    <w:ind w:left="8" w:leftChars="0" w:right="0"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5 mg/m3</w:t>
                  </w:r>
                </w:p>
              </w:tc>
            </w:tr>
            <w:tr w14:paraId="4B10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auto"/>
                  <w:vAlign w:val="top"/>
                </w:tcPr>
                <w:p w14:paraId="5C23F183">
                  <w:pPr>
                    <w:pStyle w:val="11"/>
                    <w:ind w:left="239" w:right="219" w:hanging="1"/>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Cyclohexene, 1- methyl-4-(1-</w:t>
                  </w:r>
                </w:p>
                <w:p w14:paraId="12D2933A">
                  <w:pPr>
                    <w:pStyle w:val="11"/>
                    <w:spacing w:line="228" w:lineRule="exact"/>
                    <w:ind w:left="239" w:leftChars="0" w:right="219"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methylethenyl)-, (4R)-</w:t>
                  </w:r>
                </w:p>
              </w:tc>
              <w:tc>
                <w:tcPr>
                  <w:tcW w:w="2580" w:type="dxa"/>
                  <w:shd w:val="clear" w:color="auto" w:fill="auto"/>
                  <w:vAlign w:val="top"/>
                </w:tcPr>
                <w:p w14:paraId="4B6D93D3">
                  <w:pPr>
                    <w:pStyle w:val="11"/>
                    <w:ind w:left="492" w:leftChars="0" w:right="0" w:rightChars="0" w:hanging="270" w:firstLineChars="0"/>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Workplace Environmental Exposure Levels (WEEL)</w:t>
                  </w:r>
                </w:p>
              </w:tc>
              <w:tc>
                <w:tcPr>
                  <w:tcW w:w="2574" w:type="dxa"/>
                  <w:shd w:val="clear" w:color="auto" w:fill="auto"/>
                  <w:vAlign w:val="top"/>
                </w:tcPr>
                <w:p w14:paraId="70E8F377">
                  <w:pPr>
                    <w:pStyle w:val="11"/>
                    <w:spacing w:line="223" w:lineRule="exact"/>
                    <w:ind w:left="12"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8-hr TWA</w:t>
                  </w:r>
                </w:p>
              </w:tc>
              <w:tc>
                <w:tcPr>
                  <w:tcW w:w="2672" w:type="dxa"/>
                  <w:shd w:val="clear" w:color="auto" w:fill="auto"/>
                  <w:vAlign w:val="top"/>
                </w:tcPr>
                <w:p w14:paraId="611B2177">
                  <w:pPr>
                    <w:pStyle w:val="11"/>
                    <w:spacing w:line="223" w:lineRule="exact"/>
                    <w:ind w:left="419" w:leftChars="0" w:right="0" w:rightChars="0"/>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30 ppm</w:t>
                  </w:r>
                </w:p>
              </w:tc>
            </w:tr>
          </w:tbl>
          <w:p w14:paraId="6B24BB21">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2</w:t>
            </w:r>
            <w:r>
              <w:rPr>
                <w:rFonts w:hint="default" w:ascii="Segoe UI" w:hAnsi="Segoe UI"/>
                <w:sz w:val="16"/>
                <w:szCs w:val="16"/>
                <w:highlight w:val="none"/>
                <w:lang w:val="pt-BR"/>
              </w:rPr>
              <w:t>22.80</w:t>
            </w:r>
            <w:r>
              <w:rPr>
                <w:rFonts w:hint="default" w:ascii="Segoe UI" w:hAnsi="Segoe UI"/>
                <w:sz w:val="16"/>
                <w:szCs w:val="16"/>
                <w:highlight w:val="none"/>
                <w:lang w:val="en-US"/>
              </w:rPr>
              <w:t xml:space="preserve"> °F (10</w:t>
            </w:r>
            <w:r>
              <w:rPr>
                <w:rFonts w:hint="default" w:ascii="Segoe UI" w:hAnsi="Segoe UI"/>
                <w:sz w:val="16"/>
                <w:szCs w:val="16"/>
                <w:highlight w:val="none"/>
                <w:lang w:val="pt-BR"/>
              </w:rPr>
              <w:t>6.00</w:t>
            </w:r>
            <w:r>
              <w:rPr>
                <w:rFonts w:hint="default" w:ascii="Segoe UI" w:hAnsi="Segoe UI"/>
                <w:sz w:val="16"/>
                <w:szCs w:val="16"/>
                <w:highlight w:val="none"/>
                <w:lang w:val="en-US"/>
              </w:rPr>
              <w:t xml:space="preserve">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0968F1CE">
            <w:pPr>
              <w:rPr>
                <w:rFonts w:hint="default" w:ascii="Segoe UI" w:hAnsi="Segoe UI"/>
                <w:sz w:val="16"/>
                <w:szCs w:val="16"/>
                <w:highlight w:val="none"/>
                <w:lang w:val="en-US"/>
              </w:rPr>
            </w:pPr>
            <w:r>
              <w:rPr>
                <w:rFonts w:hint="default" w:ascii="Segoe UI" w:hAnsi="Segoe UI"/>
                <w:sz w:val="16"/>
                <w:szCs w:val="16"/>
                <w:highlight w:val="none"/>
                <w:lang w:val="en-US"/>
              </w:rPr>
              <w:t xml:space="preserve">Skin corrosion or irritation </w:t>
            </w:r>
          </w:p>
          <w:p w14:paraId="7B96DC3A">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5C70E3BD">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bookmarkStart w:id="0" w:name="_GoBack"/>
            <w:bookmarkEnd w:id="0"/>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45E06EFD">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lang w:val="en-US"/>
            </w:rPr>
            <w:t>Produ</w:t>
          </w:r>
          <w:r>
            <w:rPr>
              <w:rFonts w:ascii="Segoe UI" w:hAnsi="Segoe UI" w:cs="Segoe UI"/>
              <w:sz w:val="16"/>
              <w:szCs w:val="16"/>
              <w:highlight w:val="none"/>
              <w:lang w:val="en-US"/>
            </w:rPr>
            <w:t>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825344 PHOENIX</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07A4540"/>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B46EDD"/>
    <w:rsid w:val="78DD1DC1"/>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0</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2025-02-18T19:32:40Z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