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AZURE DREAMS</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SCE825340</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3.3</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0.8</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18.9</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2.9</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0.8</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0.8</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0.2</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0.8</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0.8</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0.2</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1.2</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1.2</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2.9</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0.2</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0.2</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185723C"/>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0</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