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bookmarkStart w:id="0" w:name="_GoBack"/>
            <w:bookmarkEnd w:id="0"/>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574E7460">
            <w:pPr>
              <w:rPr>
                <w:rFonts w:hint="default" w:ascii="Segoe UI" w:hAnsi="Segoe UI" w:eastAsia="Times New Roman" w:cs="Times New Roman"/>
                <w:sz w:val="18"/>
                <w:szCs w:val="18"/>
              </w:rPr>
            </w:pPr>
            <w:r>
              <w:rPr>
                <w:rFonts w:hint="default" w:ascii="Segoe UI" w:hAnsi="Segoe UI"/>
                <w:sz w:val="16"/>
                <w:szCs w:val="16"/>
                <w:highlight w:val="yellow"/>
              </w:rPr>
              <w:t>FRAGRANCE 962126 - 6189332</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sz w:val="16"/>
                <w:szCs w:val="16"/>
                <w:highlight w:val="yellow"/>
              </w:rPr>
              <w:t>SCE496426</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7A13907D">
            <w:pPr>
              <w:rPr>
                <w:rFonts w:hint="default" w:ascii="Segoe UI" w:hAnsi="Segoe UI"/>
                <w:sz w:val="16"/>
                <w:szCs w:val="16"/>
                <w:highlight w:val="yellow"/>
                <w:lang w:val="en-US"/>
              </w:rPr>
            </w:pPr>
            <w:r>
              <w:rPr>
                <w:rFonts w:hint="default" w:ascii="Segoe UI" w:hAnsi="Segoe UI"/>
                <w:sz w:val="16"/>
                <w:szCs w:val="16"/>
                <w:highlight w:val="yellow"/>
                <w:lang w:val="en-US"/>
              </w:rPr>
              <w:t>Skin irritation, Category 2</w:t>
            </w:r>
          </w:p>
          <w:p w14:paraId="4455F93A">
            <w:pPr>
              <w:rPr>
                <w:rFonts w:hint="default" w:ascii="Segoe UI" w:hAnsi="Segoe UI"/>
                <w:sz w:val="16"/>
                <w:szCs w:val="16"/>
                <w:highlight w:val="yellow"/>
                <w:lang w:val="en-US"/>
              </w:rPr>
            </w:pPr>
            <w:r>
              <w:rPr>
                <w:rFonts w:hint="default" w:ascii="Segoe UI" w:hAnsi="Segoe UI"/>
                <w:sz w:val="16"/>
                <w:szCs w:val="16"/>
                <w:highlight w:val="yellow"/>
                <w:lang w:val="en-US"/>
              </w:rPr>
              <w:t>Eye irritation, Category 2A</w:t>
            </w:r>
          </w:p>
          <w:p w14:paraId="50DDCC88">
            <w:pPr>
              <w:rPr>
                <w:rFonts w:hint="default" w:ascii="Segoe UI" w:hAnsi="Segoe UI"/>
                <w:sz w:val="16"/>
                <w:szCs w:val="16"/>
                <w:highlight w:val="yellow"/>
                <w:lang w:val="en-US"/>
              </w:rPr>
            </w:pPr>
            <w:r>
              <w:rPr>
                <w:rFonts w:hint="default" w:ascii="Segoe UI" w:hAnsi="Segoe UI"/>
                <w:sz w:val="16"/>
                <w:szCs w:val="16"/>
                <w:highlight w:val="yellow"/>
                <w:lang w:val="en-US"/>
              </w:rPr>
              <w:t>Skin sensitisation, Category 1</w:t>
            </w:r>
          </w:p>
          <w:p w14:paraId="4270896D">
            <w:pPr>
              <w:rPr>
                <w:rFonts w:ascii="Segoe UI" w:hAnsi="Segoe UI" w:cs="Segoe UI"/>
                <w:sz w:val="16"/>
                <w:szCs w:val="16"/>
                <w:lang w:val="en-US"/>
              </w:rPr>
            </w:pPr>
            <w:r>
              <w:rPr>
                <w:rFonts w:hint="default" w:ascii="Segoe UI" w:hAnsi="Segoe UI"/>
                <w:sz w:val="16"/>
                <w:szCs w:val="16"/>
                <w:highlight w:val="yellow"/>
                <w:lang w:val="en-US"/>
              </w:rPr>
              <w:t>Reproductive toxicity, Category 2</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yellow"/>
              </w:rPr>
            </w:pPr>
            <w:r>
              <w:rPr>
                <w:rFonts w:ascii="Segoe UI" w:hAnsi="Segoe UI" w:cs="Segoe UI"/>
                <w:sz w:val="16"/>
                <w:szCs w:val="16"/>
                <w:highlight w:val="yellow"/>
              </w:rPr>
              <w:t>Symbol(s):</w:t>
            </w:r>
          </w:p>
        </w:tc>
        <w:tc>
          <w:tcPr>
            <w:tcW w:w="8082" w:type="dxa"/>
            <w:shd w:val="clear" w:color="auto" w:fill="auto"/>
          </w:tcPr>
          <w:p w14:paraId="48DB736D">
            <w:pPr>
              <w:rPr>
                <w:rFonts w:ascii="Segoe UI" w:hAnsi="Segoe UI" w:cs="Segoe UI"/>
                <w:sz w:val="16"/>
                <w:szCs w:val="16"/>
                <w:highlight w:val="yellow"/>
              </w:rPr>
            </w:pPr>
            <w:r>
              <w:rPr>
                <w:rFonts w:ascii="Segoe UI" w:hAnsi="Segoe UI" w:cs="Segoe UI"/>
                <w:sz w:val="16"/>
                <w:szCs w:val="16"/>
                <w:highlight w:val="yellow"/>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yellow"/>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yellow"/>
              </w:rPr>
            </w:pPr>
            <w:r>
              <w:rPr>
                <w:rFonts w:ascii="Segoe UI" w:hAnsi="Segoe UI" w:cs="Segoe UI"/>
                <w:sz w:val="16"/>
                <w:szCs w:val="16"/>
                <w:highlight w:val="yellow"/>
              </w:rPr>
              <w:t>Signal word:</w:t>
            </w:r>
          </w:p>
        </w:tc>
        <w:tc>
          <w:tcPr>
            <w:tcW w:w="8082" w:type="dxa"/>
            <w:shd w:val="clear" w:color="auto" w:fill="auto"/>
          </w:tcPr>
          <w:p w14:paraId="75BCA455">
            <w:pPr>
              <w:rPr>
                <w:rFonts w:ascii="Segoe UI" w:hAnsi="Segoe UI" w:cs="Segoe UI"/>
                <w:sz w:val="16"/>
                <w:szCs w:val="16"/>
                <w:highlight w:val="yellow"/>
              </w:rPr>
            </w:pPr>
            <w:r>
              <w:rPr>
                <w:rFonts w:ascii="Segoe UI" w:hAnsi="Segoe UI" w:cs="Segoe UI"/>
                <w:sz w:val="16"/>
                <w:szCs w:val="16"/>
                <w:highlight w:val="yellow"/>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yellow"/>
              </w:rPr>
            </w:pPr>
            <w:r>
              <w:rPr>
                <w:rFonts w:ascii="Segoe UI" w:hAnsi="Segoe UI" w:cs="Segoe UI"/>
                <w:sz w:val="16"/>
                <w:szCs w:val="16"/>
                <w:highlight w:val="yellow"/>
              </w:rPr>
              <w:t>Hazard statements:</w:t>
            </w:r>
          </w:p>
        </w:tc>
        <w:tc>
          <w:tcPr>
            <w:tcW w:w="8082" w:type="dxa"/>
            <w:shd w:val="clear" w:color="auto" w:fill="auto"/>
          </w:tcPr>
          <w:p w14:paraId="3AD5A261">
            <w:pPr>
              <w:rPr>
                <w:rFonts w:hint="default" w:ascii="Segoe UI" w:hAnsi="Segoe UI"/>
                <w:sz w:val="16"/>
                <w:szCs w:val="16"/>
                <w:highlight w:val="yellow"/>
                <w:lang w:val="en-US"/>
              </w:rPr>
            </w:pPr>
            <w:r>
              <w:rPr>
                <w:rFonts w:hint="default" w:ascii="Segoe UI" w:hAnsi="Segoe UI"/>
                <w:sz w:val="16"/>
                <w:szCs w:val="16"/>
                <w:highlight w:val="yellow"/>
                <w:lang w:val="en-US"/>
              </w:rPr>
              <w:t>H315: Causes skin irritation.</w:t>
            </w:r>
          </w:p>
          <w:p w14:paraId="2E689CD9">
            <w:pPr>
              <w:rPr>
                <w:rFonts w:hint="default" w:ascii="Segoe UI" w:hAnsi="Segoe UI"/>
                <w:sz w:val="16"/>
                <w:szCs w:val="16"/>
                <w:highlight w:val="yellow"/>
                <w:lang w:val="en-US"/>
              </w:rPr>
            </w:pPr>
            <w:r>
              <w:rPr>
                <w:rFonts w:hint="default" w:ascii="Segoe UI" w:hAnsi="Segoe UI"/>
                <w:sz w:val="16"/>
                <w:szCs w:val="16"/>
                <w:highlight w:val="yellow"/>
                <w:lang w:val="en-US"/>
              </w:rPr>
              <w:t>H317: May cause an allergic skin reaction.</w:t>
            </w:r>
          </w:p>
          <w:p w14:paraId="1F399C79">
            <w:pPr>
              <w:rPr>
                <w:rFonts w:hint="default" w:ascii="Segoe UI" w:hAnsi="Segoe UI"/>
                <w:sz w:val="16"/>
                <w:szCs w:val="16"/>
                <w:highlight w:val="yellow"/>
                <w:lang w:val="en-US"/>
              </w:rPr>
            </w:pPr>
            <w:r>
              <w:rPr>
                <w:rFonts w:hint="default" w:ascii="Segoe UI" w:hAnsi="Segoe UI"/>
                <w:sz w:val="16"/>
                <w:szCs w:val="16"/>
                <w:highlight w:val="yellow"/>
                <w:lang w:val="en-US"/>
              </w:rPr>
              <w:t>H319: Causes serious eye irritation.</w:t>
            </w:r>
          </w:p>
          <w:p w14:paraId="56A8E487">
            <w:pPr>
              <w:rPr>
                <w:rFonts w:ascii="Segoe UI" w:hAnsi="Segoe UI" w:cs="Segoe UI"/>
                <w:sz w:val="16"/>
                <w:szCs w:val="16"/>
                <w:highlight w:val="yellow"/>
                <w:lang w:val="en-US"/>
              </w:rPr>
            </w:pPr>
            <w:r>
              <w:rPr>
                <w:rFonts w:hint="default" w:ascii="Segoe UI" w:hAnsi="Segoe UI"/>
                <w:sz w:val="16"/>
                <w:szCs w:val="16"/>
                <w:highlight w:val="yellow"/>
                <w:lang w:val="en-US"/>
              </w:rPr>
              <w:t>H361: Suspected of damaging fertility or the unborn child.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yellow"/>
              </w:rPr>
            </w:pPr>
            <w:r>
              <w:rPr>
                <w:rFonts w:ascii="Segoe UI" w:hAnsi="Segoe UI" w:cs="Segoe UI"/>
                <w:sz w:val="16"/>
                <w:szCs w:val="16"/>
                <w:highlight w:val="yellow"/>
              </w:rPr>
              <w:t xml:space="preserve">Precautionary statements:                      </w:t>
            </w:r>
          </w:p>
        </w:tc>
        <w:tc>
          <w:tcPr>
            <w:tcW w:w="8082" w:type="dxa"/>
            <w:shd w:val="clear" w:color="auto" w:fill="auto"/>
          </w:tcPr>
          <w:p w14:paraId="078263CA">
            <w:pPr>
              <w:rPr>
                <w:rFonts w:ascii="Segoe UI" w:hAnsi="Segoe UI" w:cs="Segoe UI"/>
                <w:sz w:val="16"/>
                <w:szCs w:val="16"/>
                <w:highlight w:val="yellow"/>
                <w:lang w:val="en-US"/>
              </w:rPr>
            </w:pPr>
            <w:r>
              <w:rPr>
                <w:rFonts w:ascii="Segoe UI" w:hAnsi="Segoe UI" w:cs="Segoe UI"/>
                <w:sz w:val="16"/>
                <w:szCs w:val="16"/>
                <w:highlight w:val="yellow"/>
                <w:lang w:val="en-US"/>
              </w:rPr>
              <w:t>P280: Wear protective gloves/ protective clothing/ eye protection/ face protection.</w:t>
            </w:r>
          </w:p>
          <w:p w14:paraId="020F9296">
            <w:pPr>
              <w:rPr>
                <w:rFonts w:ascii="Segoe UI" w:hAnsi="Segoe UI" w:cs="Segoe UI"/>
                <w:sz w:val="16"/>
                <w:szCs w:val="16"/>
                <w:highlight w:val="yellow"/>
                <w:lang w:val="en-US"/>
              </w:rPr>
            </w:pPr>
            <w:r>
              <w:rPr>
                <w:rFonts w:ascii="Segoe UI" w:hAnsi="Segoe UI" w:cs="Segoe UI"/>
                <w:sz w:val="16"/>
                <w:szCs w:val="16"/>
                <w:highlight w:val="yellow"/>
                <w:lang w:val="en-US"/>
              </w:rPr>
              <w:t>P302 + P352: IF ON SKIN: Wash with plenty of soap and water.</w:t>
            </w:r>
          </w:p>
          <w:p w14:paraId="7AD6F9F1">
            <w:pPr>
              <w:rPr>
                <w:rFonts w:ascii="Segoe UI" w:hAnsi="Segoe UI" w:cs="Segoe UI"/>
                <w:sz w:val="16"/>
                <w:szCs w:val="16"/>
                <w:highlight w:val="yellow"/>
                <w:lang w:val="en-US"/>
              </w:rPr>
            </w:pPr>
            <w:r>
              <w:rPr>
                <w:rFonts w:ascii="Segoe UI" w:hAnsi="Segoe UI" w:cs="Segoe UI"/>
                <w:sz w:val="16"/>
                <w:szCs w:val="16"/>
                <w:highlight w:val="yellow"/>
                <w:lang w:val="en-US"/>
              </w:rPr>
              <w:t>P305 + P351 + P338: IF IN EYES: Rinse cautiously with water for several minutes. Remove contact lenses, if present and easy to do. 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yellow"/>
                <w:lang w:val="en-US"/>
              </w:rPr>
            </w:pPr>
            <w:r>
              <w:rPr>
                <w:rFonts w:hint="default" w:ascii="Segoe UI" w:hAnsi="Segoe UI"/>
                <w:sz w:val="16"/>
                <w:szCs w:val="16"/>
                <w:highlight w:val="yellow"/>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yellow"/>
                <w:lang w:val="en-US"/>
              </w:rPr>
            </w:pPr>
            <w:r>
              <w:rPr>
                <w:rFonts w:hint="default" w:ascii="Segoe UI" w:hAnsi="Segoe UI"/>
                <w:sz w:val="16"/>
                <w:szCs w:val="16"/>
                <w:highlight w:val="yellow"/>
                <w:lang w:val="en-US"/>
              </w:rPr>
              <w:t>No component of this product present at levels greater than or equal to 0.1% is on OSHA’s list of regulated carcinogens.</w:t>
            </w:r>
          </w:p>
          <w:p w14:paraId="3B30AF95">
            <w:pPr>
              <w:rPr>
                <w:rFonts w:ascii="Segoe UI" w:hAnsi="Segoe UI" w:cs="Segoe UI"/>
                <w:sz w:val="16"/>
                <w:szCs w:val="16"/>
                <w:highlight w:val="yellow"/>
                <w:lang w:val="en-US"/>
              </w:rPr>
            </w:pPr>
            <w:r>
              <w:rPr>
                <w:rFonts w:hint="default" w:ascii="Segoe UI" w:hAnsi="Segoe UI"/>
                <w:sz w:val="16"/>
                <w:szCs w:val="16"/>
                <w:highlight w:val="yellow"/>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6CA8F602">
            <w:pPr>
              <w:rPr>
                <w:rFonts w:hint="default" w:ascii="Segoe UI" w:hAnsi="Segoe UI"/>
                <w:sz w:val="16"/>
                <w:szCs w:val="16"/>
                <w:highlight w:val="yellow"/>
                <w:lang w:val="en-US"/>
              </w:rPr>
            </w:pPr>
            <w:r>
              <w:rPr>
                <w:rFonts w:hint="default" w:ascii="Segoe UI" w:hAnsi="Segoe UI"/>
                <w:sz w:val="16"/>
                <w:szCs w:val="16"/>
                <w:highlight w:val="yellow"/>
                <w:lang w:val="en-US"/>
              </w:rPr>
              <w:t>Causes skin irritation.</w:t>
            </w:r>
          </w:p>
          <w:p w14:paraId="106882C0">
            <w:pPr>
              <w:rPr>
                <w:rFonts w:hint="default" w:ascii="Segoe UI" w:hAnsi="Segoe UI"/>
                <w:sz w:val="16"/>
                <w:szCs w:val="16"/>
                <w:highlight w:val="yellow"/>
                <w:lang w:val="en-US"/>
              </w:rPr>
            </w:pPr>
            <w:r>
              <w:rPr>
                <w:rFonts w:hint="default" w:ascii="Segoe UI" w:hAnsi="Segoe UI"/>
                <w:sz w:val="16"/>
                <w:szCs w:val="16"/>
                <w:highlight w:val="yellow"/>
                <w:lang w:val="en-US"/>
              </w:rPr>
              <w:t>May cause an allergic skin reaction.</w:t>
            </w:r>
          </w:p>
          <w:p w14:paraId="5F0FFC7E">
            <w:pPr>
              <w:rPr>
                <w:rFonts w:hint="default" w:ascii="Segoe UI" w:hAnsi="Segoe UI"/>
                <w:sz w:val="16"/>
                <w:szCs w:val="16"/>
                <w:highlight w:val="yellow"/>
                <w:lang w:val="en-US"/>
              </w:rPr>
            </w:pPr>
            <w:r>
              <w:rPr>
                <w:rFonts w:hint="default" w:ascii="Segoe UI" w:hAnsi="Segoe UI"/>
                <w:sz w:val="16"/>
                <w:szCs w:val="16"/>
                <w:highlight w:val="yellow"/>
                <w:lang w:val="en-US"/>
              </w:rPr>
              <w:t>Causes serious eye irritation.</w:t>
            </w:r>
          </w:p>
          <w:p w14:paraId="7F6DEE43">
            <w:pPr>
              <w:rPr>
                <w:rFonts w:ascii="Segoe UI" w:hAnsi="Segoe UI" w:cs="Segoe UI"/>
                <w:sz w:val="16"/>
                <w:szCs w:val="16"/>
                <w:lang w:val="en-US"/>
              </w:rPr>
            </w:pPr>
            <w:r>
              <w:rPr>
                <w:rFonts w:hint="default" w:ascii="Segoe UI" w:hAnsi="Segoe UI"/>
                <w:sz w:val="16"/>
                <w:szCs w:val="16"/>
                <w:highlight w:val="yellow"/>
                <w:lang w:val="en-US"/>
              </w:rPr>
              <w:t>Suspected of damaging fertility or the unborn child.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highlight w:val="yellow"/>
              </w:rPr>
              <w:t>217.99 °F (103.33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7D8E0003">
                  <w:pPr>
                    <w:jc w:val="both"/>
                    <w:rPr>
                      <w:rFonts w:ascii="Segoe UI" w:hAnsi="Segoe UI" w:cs="Segoe UI"/>
                      <w:sz w:val="16"/>
                      <w:szCs w:val="16"/>
                      <w:highlight w:val="yellow"/>
                      <w:lang w:val="en-US"/>
                    </w:rPr>
                  </w:pPr>
                  <w:r>
                    <w:rPr>
                      <w:rFonts w:hint="default" w:ascii="Segoe UI" w:hAnsi="Segoe UI"/>
                      <w:sz w:val="16"/>
                      <w:szCs w:val="16"/>
                      <w:highlight w:val="yellow"/>
                      <w:lang w:val="en-US"/>
                    </w:rPr>
                    <w:t>Acetic acid, phenylmethyl ester</w:t>
                  </w:r>
                </w:p>
              </w:tc>
              <w:tc>
                <w:tcPr>
                  <w:tcW w:w="2580" w:type="dxa"/>
                </w:tcPr>
                <w:p w14:paraId="760EFDA8">
                  <w:pPr>
                    <w:jc w:val="center"/>
                    <w:rPr>
                      <w:rFonts w:hint="default" w:ascii="Segoe UI" w:hAnsi="Segoe UI"/>
                      <w:sz w:val="16"/>
                      <w:szCs w:val="16"/>
                      <w:highlight w:val="yellow"/>
                      <w:lang w:val="en-US"/>
                    </w:rPr>
                  </w:pPr>
                  <w:r>
                    <w:rPr>
                      <w:rFonts w:hint="default" w:ascii="Segoe UI" w:hAnsi="Segoe UI"/>
                      <w:sz w:val="16"/>
                      <w:szCs w:val="16"/>
                      <w:highlight w:val="yellow"/>
                      <w:lang w:val="en-US"/>
                    </w:rPr>
                    <w:t xml:space="preserve">USA. ACGIH Threshold Limit </w:t>
                  </w:r>
                </w:p>
                <w:p w14:paraId="43292907">
                  <w:pPr>
                    <w:jc w:val="center"/>
                    <w:rPr>
                      <w:rFonts w:ascii="Segoe UI" w:hAnsi="Segoe UI" w:cs="Segoe UI"/>
                      <w:sz w:val="16"/>
                      <w:szCs w:val="16"/>
                      <w:highlight w:val="yellow"/>
                      <w:lang w:val="en-US"/>
                    </w:rPr>
                  </w:pPr>
                  <w:r>
                    <w:rPr>
                      <w:rFonts w:hint="default" w:ascii="Segoe UI" w:hAnsi="Segoe UI"/>
                      <w:sz w:val="16"/>
                      <w:szCs w:val="16"/>
                      <w:highlight w:val="yellow"/>
                      <w:lang w:val="en-US"/>
                    </w:rPr>
                    <w:t>Values (TLV)</w:t>
                  </w:r>
                </w:p>
              </w:tc>
              <w:tc>
                <w:tcPr>
                  <w:tcW w:w="2574" w:type="dxa"/>
                </w:tcPr>
                <w:p w14:paraId="77E7540A">
                  <w:pPr>
                    <w:jc w:val="center"/>
                    <w:rPr>
                      <w:rFonts w:ascii="Segoe UI" w:hAnsi="Segoe UI" w:cs="Segoe UI"/>
                      <w:sz w:val="16"/>
                      <w:szCs w:val="16"/>
                      <w:highlight w:val="yellow"/>
                      <w:lang w:val="en-US"/>
                    </w:rPr>
                  </w:pPr>
                  <w:r>
                    <w:rPr>
                      <w:rFonts w:hint="default" w:ascii="Segoe UI" w:hAnsi="Segoe UI"/>
                      <w:sz w:val="16"/>
                      <w:szCs w:val="16"/>
                      <w:highlight w:val="yellow"/>
                      <w:lang w:val="en-US"/>
                    </w:rPr>
                    <w:t>8-hour, time-weighted average</w:t>
                  </w:r>
                </w:p>
              </w:tc>
              <w:tc>
                <w:tcPr>
                  <w:tcW w:w="2672" w:type="dxa"/>
                </w:tcPr>
                <w:p w14:paraId="3C14FCA7">
                  <w:pPr>
                    <w:jc w:val="center"/>
                    <w:rPr>
                      <w:rFonts w:ascii="Segoe UI" w:hAnsi="Segoe UI" w:cs="Segoe UI"/>
                      <w:sz w:val="16"/>
                      <w:szCs w:val="16"/>
                      <w:highlight w:val="yellow"/>
                      <w:lang w:val="en-US"/>
                    </w:rPr>
                  </w:pPr>
                  <w:r>
                    <w:rPr>
                      <w:rFonts w:hint="default" w:ascii="Segoe UI" w:hAnsi="Segoe UI" w:cs="Segoe UI"/>
                      <w:sz w:val="16"/>
                      <w:szCs w:val="16"/>
                      <w:highlight w:val="yellow"/>
                      <w:lang w:val="pt-BR"/>
                    </w:rPr>
                    <w:t>1</w:t>
                  </w:r>
                  <w:r>
                    <w:rPr>
                      <w:rFonts w:ascii="Segoe UI" w:hAnsi="Segoe UI" w:cs="Segoe UI"/>
                      <w:sz w:val="16"/>
                      <w:szCs w:val="16"/>
                      <w:highlight w:val="yellow"/>
                      <w:lang w:val="en-US"/>
                    </w:rPr>
                    <w:t>0 ppm</w:t>
                  </w: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004DC7CB">
                  <w:pPr>
                    <w:jc w:val="both"/>
                    <w:rPr>
                      <w:rFonts w:ascii="Segoe UI" w:hAnsi="Segoe UI" w:cs="Segoe UI"/>
                      <w:sz w:val="16"/>
                      <w:szCs w:val="16"/>
                      <w:highlight w:val="yellow"/>
                      <w:lang w:val="en-US"/>
                    </w:rPr>
                  </w:pPr>
                  <w:r>
                    <w:rPr>
                      <w:rFonts w:hint="default" w:ascii="Segoe UI" w:hAnsi="Segoe UI"/>
                      <w:sz w:val="16"/>
                      <w:szCs w:val="16"/>
                      <w:highlight w:val="yellow"/>
                      <w:lang w:val="en-US"/>
                    </w:rPr>
                    <w:t>Acetic acid, phenylmethyl ester</w:t>
                  </w:r>
                </w:p>
              </w:tc>
              <w:tc>
                <w:tcPr>
                  <w:tcW w:w="2580" w:type="dxa"/>
                </w:tcPr>
                <w:p w14:paraId="1F9E1CD2">
                  <w:pPr>
                    <w:jc w:val="center"/>
                    <w:rPr>
                      <w:rFonts w:hint="default" w:ascii="Segoe UI" w:hAnsi="Segoe UI"/>
                      <w:sz w:val="16"/>
                      <w:szCs w:val="16"/>
                      <w:highlight w:val="yellow"/>
                      <w:lang w:val="en-US"/>
                    </w:rPr>
                  </w:pPr>
                  <w:r>
                    <w:rPr>
                      <w:rFonts w:hint="default" w:ascii="Segoe UI" w:hAnsi="Segoe UI"/>
                      <w:sz w:val="16"/>
                      <w:szCs w:val="16"/>
                      <w:highlight w:val="yellow"/>
                      <w:lang w:val="en-US"/>
                    </w:rPr>
                    <w:t xml:space="preserve">California permissible exposure </w:t>
                  </w:r>
                </w:p>
                <w:p w14:paraId="0863592E">
                  <w:pPr>
                    <w:jc w:val="center"/>
                    <w:rPr>
                      <w:rFonts w:hint="default" w:ascii="Segoe UI" w:hAnsi="Segoe UI"/>
                      <w:sz w:val="16"/>
                      <w:szCs w:val="16"/>
                      <w:highlight w:val="yellow"/>
                      <w:lang w:val="en-US"/>
                    </w:rPr>
                  </w:pPr>
                  <w:r>
                    <w:rPr>
                      <w:rFonts w:hint="default" w:ascii="Segoe UI" w:hAnsi="Segoe UI"/>
                      <w:sz w:val="16"/>
                      <w:szCs w:val="16"/>
                      <w:highlight w:val="yellow"/>
                      <w:lang w:val="en-US"/>
                    </w:rPr>
                    <w:t xml:space="preserve">limits for chemical contaminants </w:t>
                  </w:r>
                </w:p>
                <w:p w14:paraId="504A151C">
                  <w:pPr>
                    <w:jc w:val="center"/>
                    <w:rPr>
                      <w:rFonts w:ascii="Segoe UI" w:hAnsi="Segoe UI" w:cs="Segoe UI"/>
                      <w:sz w:val="16"/>
                      <w:szCs w:val="16"/>
                      <w:highlight w:val="yellow"/>
                      <w:lang w:val="en-US"/>
                    </w:rPr>
                  </w:pPr>
                  <w:r>
                    <w:rPr>
                      <w:rFonts w:hint="default" w:ascii="Segoe UI" w:hAnsi="Segoe UI"/>
                      <w:sz w:val="16"/>
                      <w:szCs w:val="16"/>
                      <w:highlight w:val="yellow"/>
                      <w:lang w:val="en-US"/>
                    </w:rPr>
                    <w:t>(Title 8, Article 107)</w:t>
                  </w:r>
                </w:p>
              </w:tc>
              <w:tc>
                <w:tcPr>
                  <w:tcW w:w="2574" w:type="dxa"/>
                </w:tcPr>
                <w:p w14:paraId="11E60475">
                  <w:pPr>
                    <w:jc w:val="center"/>
                    <w:rPr>
                      <w:rFonts w:ascii="Segoe UI" w:hAnsi="Segoe UI" w:cs="Segoe UI"/>
                      <w:sz w:val="16"/>
                      <w:szCs w:val="16"/>
                      <w:highlight w:val="yellow"/>
                      <w:lang w:val="en-US"/>
                    </w:rPr>
                  </w:pPr>
                  <w:r>
                    <w:rPr>
                      <w:rFonts w:hint="default" w:ascii="Segoe UI" w:hAnsi="Segoe UI"/>
                      <w:sz w:val="16"/>
                      <w:szCs w:val="16"/>
                      <w:highlight w:val="yellow"/>
                      <w:lang w:val="en-US"/>
                    </w:rPr>
                    <w:t>Permissible exposure limit</w:t>
                  </w:r>
                </w:p>
              </w:tc>
              <w:tc>
                <w:tcPr>
                  <w:tcW w:w="2672" w:type="dxa"/>
                </w:tcPr>
                <w:p w14:paraId="53D2111F">
                  <w:pPr>
                    <w:jc w:val="center"/>
                    <w:rPr>
                      <w:rFonts w:hint="default" w:ascii="Segoe UI" w:hAnsi="Segoe UI"/>
                      <w:sz w:val="16"/>
                      <w:szCs w:val="16"/>
                      <w:highlight w:val="yellow"/>
                      <w:lang w:val="en-US"/>
                    </w:rPr>
                  </w:pPr>
                  <w:r>
                    <w:rPr>
                      <w:rFonts w:hint="default" w:ascii="Segoe UI" w:hAnsi="Segoe UI"/>
                      <w:sz w:val="16"/>
                      <w:szCs w:val="16"/>
                      <w:highlight w:val="yellow"/>
                      <w:lang w:val="en-US"/>
                    </w:rPr>
                    <w:t>10 ppm</w:t>
                  </w:r>
                </w:p>
                <w:p w14:paraId="48278934">
                  <w:pPr>
                    <w:jc w:val="center"/>
                    <w:rPr>
                      <w:rFonts w:ascii="Segoe UI" w:hAnsi="Segoe UI" w:cs="Segoe UI"/>
                      <w:sz w:val="16"/>
                      <w:szCs w:val="16"/>
                      <w:highlight w:val="yellow"/>
                      <w:lang w:val="en-US"/>
                    </w:rPr>
                  </w:pPr>
                  <w:r>
                    <w:rPr>
                      <w:rFonts w:hint="default" w:ascii="Segoe UI" w:hAnsi="Segoe UI"/>
                      <w:sz w:val="16"/>
                      <w:szCs w:val="16"/>
                      <w:highlight w:val="yellow"/>
                      <w:lang w:val="en-US"/>
                    </w:rPr>
                    <w:t>61 mg/m3</w:t>
                  </w:r>
                </w:p>
              </w:tc>
            </w:tr>
            <w:tr w14:paraId="0F4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29F173E6">
                  <w:pPr>
                    <w:rPr>
                      <w:rFonts w:hint="default" w:ascii="Segoe UI" w:hAnsi="Segoe UI" w:cs="Segoe UI"/>
                      <w:sz w:val="16"/>
                      <w:szCs w:val="16"/>
                      <w:highlight w:val="yellow"/>
                      <w:lang w:val="en-US"/>
                    </w:rPr>
                  </w:pPr>
                  <w:r>
                    <w:rPr>
                      <w:rFonts w:hint="default" w:ascii="Segoe UI" w:hAnsi="Segoe UI" w:cs="Segoe UI"/>
                      <w:sz w:val="16"/>
                      <w:szCs w:val="16"/>
                      <w:highlight w:val="yellow"/>
                      <w:lang w:val="en-US"/>
                    </w:rPr>
                    <w:t>Cyclohexene, 1-</w:t>
                  </w:r>
                </w:p>
                <w:p w14:paraId="53E71314">
                  <w:pPr>
                    <w:ind w:left="0" w:leftChars="0" w:right="0" w:rightChars="0"/>
                    <w:rPr>
                      <w:rFonts w:hint="default" w:ascii="Segoe UI" w:hAnsi="Segoe UI"/>
                      <w:sz w:val="16"/>
                      <w:szCs w:val="16"/>
                      <w:highlight w:val="yellow"/>
                      <w:lang w:val="en-US"/>
                    </w:rPr>
                  </w:pPr>
                  <w:r>
                    <w:rPr>
                      <w:rFonts w:hint="default" w:ascii="Segoe UI" w:hAnsi="Segoe UI" w:cs="Segoe UI"/>
                      <w:sz w:val="16"/>
                      <w:szCs w:val="16"/>
                      <w:highlight w:val="yellow"/>
                      <w:lang w:val="en-US"/>
                    </w:rPr>
                    <w:t>methyl-4-(1-methylethenyl)-, (4R)</w:t>
                  </w:r>
                  <w:r>
                    <w:rPr>
                      <w:rFonts w:hint="default" w:ascii="Segoe UI" w:hAnsi="Segoe UI" w:cs="Segoe UI"/>
                      <w:sz w:val="16"/>
                      <w:szCs w:val="16"/>
                      <w:highlight w:val="yellow"/>
                      <w:lang w:val="pt-BR"/>
                    </w:rPr>
                    <w:t>-</w:t>
                  </w:r>
                </w:p>
              </w:tc>
              <w:tc>
                <w:tcPr>
                  <w:tcW w:w="2580" w:type="dxa"/>
                  <w:vAlign w:val="top"/>
                </w:tcPr>
                <w:p w14:paraId="4CB95058">
                  <w:pPr>
                    <w:rPr>
                      <w:rFonts w:hint="default" w:ascii="Segoe UI" w:hAnsi="Segoe UI" w:cs="Segoe UI"/>
                      <w:sz w:val="16"/>
                      <w:szCs w:val="16"/>
                      <w:highlight w:val="yellow"/>
                      <w:lang w:val="en-US"/>
                    </w:rPr>
                  </w:pPr>
                  <w:r>
                    <w:rPr>
                      <w:rFonts w:hint="default" w:ascii="Segoe UI" w:hAnsi="Segoe UI" w:cs="Segoe UI"/>
                      <w:sz w:val="16"/>
                      <w:szCs w:val="16"/>
                      <w:highlight w:val="yellow"/>
                      <w:lang w:val="en-US"/>
                    </w:rPr>
                    <w:t xml:space="preserve">USA. Workplace Environmental </w:t>
                  </w:r>
                </w:p>
                <w:p w14:paraId="44046A62">
                  <w:pPr>
                    <w:ind w:left="0" w:leftChars="0" w:right="0" w:rightChars="0"/>
                    <w:rPr>
                      <w:rFonts w:hint="default" w:ascii="Segoe UI" w:hAnsi="Segoe UI"/>
                      <w:sz w:val="16"/>
                      <w:szCs w:val="16"/>
                      <w:highlight w:val="yellow"/>
                      <w:lang w:val="en-US"/>
                    </w:rPr>
                  </w:pPr>
                  <w:r>
                    <w:rPr>
                      <w:rFonts w:hint="default" w:ascii="Segoe UI" w:hAnsi="Segoe UI" w:cs="Segoe UI"/>
                      <w:sz w:val="16"/>
                      <w:szCs w:val="16"/>
                      <w:highlight w:val="yellow"/>
                      <w:lang w:val="en-US"/>
                    </w:rPr>
                    <w:t>Exposure Levels (WEEL)</w:t>
                  </w:r>
                </w:p>
              </w:tc>
              <w:tc>
                <w:tcPr>
                  <w:tcW w:w="2574" w:type="dxa"/>
                  <w:vAlign w:val="top"/>
                </w:tcPr>
                <w:p w14:paraId="0C8C085F">
                  <w:pPr>
                    <w:ind w:left="0" w:leftChars="0" w:right="0" w:rightChars="0" w:firstLine="80" w:firstLineChars="50"/>
                    <w:rPr>
                      <w:rFonts w:hint="default" w:ascii="Segoe UI" w:hAnsi="Segoe UI"/>
                      <w:sz w:val="16"/>
                      <w:szCs w:val="16"/>
                      <w:highlight w:val="yellow"/>
                      <w:lang w:val="en-US"/>
                    </w:rPr>
                  </w:pPr>
                  <w:r>
                    <w:rPr>
                      <w:rFonts w:hint="default" w:ascii="Segoe UI" w:hAnsi="Segoe UI" w:cs="Segoe UI"/>
                      <w:sz w:val="16"/>
                      <w:szCs w:val="16"/>
                      <w:highlight w:val="yellow"/>
                      <w:lang w:val="en-US"/>
                    </w:rPr>
                    <w:t>8-hr TWA</w:t>
                  </w:r>
                </w:p>
              </w:tc>
              <w:tc>
                <w:tcPr>
                  <w:tcW w:w="2672" w:type="dxa"/>
                  <w:vAlign w:val="top"/>
                </w:tcPr>
                <w:p w14:paraId="480D4253">
                  <w:pPr>
                    <w:ind w:left="0" w:leftChars="0" w:right="0" w:rightChars="0" w:firstLine="800" w:firstLineChars="500"/>
                    <w:rPr>
                      <w:rFonts w:hint="default" w:ascii="Segoe UI" w:hAnsi="Segoe UI"/>
                      <w:sz w:val="16"/>
                      <w:szCs w:val="16"/>
                      <w:highlight w:val="yellow"/>
                      <w:lang w:val="en-US"/>
                    </w:rPr>
                  </w:pPr>
                  <w:r>
                    <w:rPr>
                      <w:rFonts w:hint="default" w:ascii="Segoe UI" w:hAnsi="Segoe UI" w:cs="Segoe UI"/>
                      <w:sz w:val="16"/>
                      <w:szCs w:val="16"/>
                      <w:highlight w:val="yellow"/>
                      <w:lang w:val="en-US"/>
                    </w:rPr>
                    <w:t>30 ppm</w:t>
                  </w:r>
                </w:p>
              </w:tc>
            </w:tr>
            <w:tr w14:paraId="78AE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605850A9">
                  <w:pPr>
                    <w:keepNext w:val="0"/>
                    <w:keepLines w:val="0"/>
                    <w:widowControl/>
                    <w:suppressLineNumbers w:val="0"/>
                    <w:jc w:val="left"/>
                    <w:rPr>
                      <w:rFonts w:ascii="Segoe UI" w:hAnsi="Segoe UI" w:eastAsia="Arial MT" w:cs="Segoe UI"/>
                      <w:sz w:val="16"/>
                      <w:szCs w:val="16"/>
                      <w:highlight w:val="yellow"/>
                      <w:lang w:val="en-US" w:eastAsia="en-US" w:bidi="ar-SA"/>
                    </w:rPr>
                  </w:pPr>
                  <w:r>
                    <w:rPr>
                      <w:rFonts w:hint="default" w:ascii="Segoe UI" w:hAnsi="Segoe UI" w:eastAsia="Arial MT" w:cs="Segoe UI"/>
                      <w:sz w:val="16"/>
                      <w:szCs w:val="16"/>
                      <w:highlight w:val="yellow"/>
                      <w:lang w:val="en-US" w:eastAsia="zh-CN" w:bidi="ar-SA"/>
                    </w:rPr>
                    <w:t xml:space="preserve">2,6-Octadienal, 3,7- </w:t>
                  </w:r>
                </w:p>
                <w:p w14:paraId="709BAE07">
                  <w:pPr>
                    <w:keepNext w:val="0"/>
                    <w:keepLines w:val="0"/>
                    <w:widowControl/>
                    <w:suppressLineNumbers w:val="0"/>
                    <w:jc w:val="left"/>
                    <w:rPr>
                      <w:rFonts w:ascii="Segoe UI" w:hAnsi="Segoe UI" w:eastAsia="Arial MT" w:cs="Segoe UI"/>
                      <w:sz w:val="16"/>
                      <w:szCs w:val="16"/>
                      <w:highlight w:val="yellow"/>
                      <w:lang w:val="en-US" w:eastAsia="en-US" w:bidi="ar-SA"/>
                    </w:rPr>
                  </w:pPr>
                  <w:r>
                    <w:rPr>
                      <w:rFonts w:hint="default" w:ascii="Segoe UI" w:hAnsi="Segoe UI" w:eastAsia="Arial MT" w:cs="Segoe UI"/>
                      <w:sz w:val="16"/>
                      <w:szCs w:val="16"/>
                      <w:highlight w:val="yellow"/>
                      <w:lang w:val="en-US" w:eastAsia="zh-CN" w:bidi="ar-SA"/>
                    </w:rPr>
                    <w:t>dimethyl</w:t>
                  </w:r>
                </w:p>
                <w:p w14:paraId="3B6787D4">
                  <w:pPr>
                    <w:jc w:val="both"/>
                    <w:rPr>
                      <w:rFonts w:ascii="Segoe UI" w:hAnsi="Segoe UI" w:eastAsia="Arial MT" w:cs="Segoe UI"/>
                      <w:sz w:val="16"/>
                      <w:szCs w:val="16"/>
                      <w:highlight w:val="yellow"/>
                      <w:lang w:val="en-US" w:eastAsia="en-US" w:bidi="ar-SA"/>
                    </w:rPr>
                  </w:pPr>
                </w:p>
              </w:tc>
              <w:tc>
                <w:tcPr>
                  <w:tcW w:w="2580" w:type="dxa"/>
                </w:tcPr>
                <w:p w14:paraId="413533BA">
                  <w:pPr>
                    <w:jc w:val="center"/>
                    <w:rPr>
                      <w:rFonts w:hint="default" w:ascii="Segoe UI" w:hAnsi="Segoe UI" w:eastAsia="Arial MT" w:cs="Segoe UI"/>
                      <w:sz w:val="16"/>
                      <w:szCs w:val="16"/>
                      <w:highlight w:val="yellow"/>
                      <w:lang w:val="en-US" w:eastAsia="en-US" w:bidi="ar-SA"/>
                    </w:rPr>
                  </w:pPr>
                  <w:r>
                    <w:rPr>
                      <w:rFonts w:hint="default" w:ascii="Segoe UI" w:hAnsi="Segoe UI" w:eastAsia="Arial MT" w:cs="Segoe UI"/>
                      <w:sz w:val="16"/>
                      <w:szCs w:val="16"/>
                      <w:highlight w:val="yellow"/>
                      <w:lang w:val="en-US" w:eastAsia="en-US" w:bidi="ar-SA"/>
                    </w:rPr>
                    <w:t xml:space="preserve">USA. ACGIH Threshold Limit </w:t>
                  </w:r>
                </w:p>
                <w:p w14:paraId="6B198091">
                  <w:pPr>
                    <w:jc w:val="center"/>
                    <w:rPr>
                      <w:rFonts w:ascii="Segoe UI" w:hAnsi="Segoe UI" w:eastAsia="Arial MT" w:cs="Segoe UI"/>
                      <w:sz w:val="16"/>
                      <w:szCs w:val="16"/>
                      <w:highlight w:val="yellow"/>
                      <w:lang w:val="en-US" w:eastAsia="en-US" w:bidi="ar-SA"/>
                    </w:rPr>
                  </w:pPr>
                  <w:r>
                    <w:rPr>
                      <w:rFonts w:hint="default" w:ascii="Segoe UI" w:hAnsi="Segoe UI" w:eastAsia="Arial MT" w:cs="Segoe UI"/>
                      <w:sz w:val="16"/>
                      <w:szCs w:val="16"/>
                      <w:highlight w:val="yellow"/>
                      <w:lang w:val="en-US" w:eastAsia="en-US" w:bidi="ar-SA"/>
                    </w:rPr>
                    <w:t>Values (TLV)</w:t>
                  </w:r>
                </w:p>
              </w:tc>
              <w:tc>
                <w:tcPr>
                  <w:tcW w:w="2574" w:type="dxa"/>
                </w:tcPr>
                <w:p w14:paraId="4663EA39">
                  <w:pPr>
                    <w:jc w:val="center"/>
                    <w:rPr>
                      <w:rFonts w:ascii="Segoe UI" w:hAnsi="Segoe UI" w:eastAsia="Arial MT" w:cs="Segoe UI"/>
                      <w:sz w:val="16"/>
                      <w:szCs w:val="16"/>
                      <w:highlight w:val="yellow"/>
                      <w:lang w:val="en-US" w:eastAsia="en-US" w:bidi="ar-SA"/>
                    </w:rPr>
                  </w:pPr>
                  <w:r>
                    <w:rPr>
                      <w:rFonts w:hint="default" w:ascii="Segoe UI" w:hAnsi="Segoe UI" w:eastAsia="Arial MT" w:cs="Segoe UI"/>
                      <w:sz w:val="16"/>
                      <w:szCs w:val="16"/>
                      <w:highlight w:val="yellow"/>
                      <w:lang w:val="en-US" w:eastAsia="en-US" w:bidi="ar-SA"/>
                    </w:rPr>
                    <w:t>8-hour, time-weighted average</w:t>
                  </w:r>
                </w:p>
              </w:tc>
              <w:tc>
                <w:tcPr>
                  <w:tcW w:w="2672" w:type="dxa"/>
                </w:tcPr>
                <w:p w14:paraId="06E1EDD7">
                  <w:pPr>
                    <w:jc w:val="center"/>
                    <w:rPr>
                      <w:rFonts w:ascii="Segoe UI" w:hAnsi="Segoe UI" w:eastAsia="Arial MT" w:cs="Segoe UI"/>
                      <w:sz w:val="16"/>
                      <w:szCs w:val="16"/>
                      <w:highlight w:val="yellow"/>
                      <w:lang w:val="en-US" w:eastAsia="en-US" w:bidi="ar-SA"/>
                    </w:rPr>
                  </w:pPr>
                  <w:r>
                    <w:rPr>
                      <w:rFonts w:hint="default" w:ascii="Segoe UI" w:hAnsi="Segoe UI" w:eastAsia="Arial MT" w:cs="Segoe UI"/>
                      <w:sz w:val="16"/>
                      <w:szCs w:val="16"/>
                      <w:highlight w:val="yellow"/>
                      <w:lang w:val="en-US" w:eastAsia="en-US" w:bidi="ar-SA"/>
                    </w:rPr>
                    <w:t>5 ppm</w:t>
                  </w:r>
                </w:p>
              </w:tc>
            </w:tr>
          </w:tbl>
          <w:p w14:paraId="5C68397F">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yellow"/>
                <w:lang w:val="en-US"/>
              </w:rPr>
            </w:pPr>
            <w:r>
              <w:rPr>
                <w:rFonts w:ascii="Segoe UI" w:hAnsi="Segoe UI" w:cs="Segoe UI"/>
                <w:sz w:val="16"/>
                <w:szCs w:val="16"/>
                <w:highlight w:val="yellow"/>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yellow"/>
                <w:lang w:val="en-US"/>
              </w:rPr>
            </w:pPr>
            <w:r>
              <w:rPr>
                <w:rFonts w:ascii="Segoe UI" w:hAnsi="Segoe UI" w:cs="Segoe UI"/>
                <w:sz w:val="16"/>
                <w:szCs w:val="16"/>
                <w:highlight w:val="yellow"/>
                <w:lang w:val="en-US"/>
              </w:rPr>
              <w:t>Clear Liquid</w:t>
            </w:r>
          </w:p>
        </w:tc>
      </w:tr>
      <w:tr w14:paraId="3C5461A6">
        <w:tblPrEx>
          <w:tblCellMar>
            <w:top w:w="57" w:type="dxa"/>
            <w:left w:w="70" w:type="dxa"/>
            <w:bottom w:w="57" w:type="dxa"/>
            <w:right w:w="70" w:type="dxa"/>
          </w:tblCellMar>
        </w:tblPrEx>
        <w:trPr>
          <w:trHeight w:val="170" w:hRule="atLeast"/>
        </w:trPr>
        <w:tc>
          <w:tcPr>
            <w:tcW w:w="2691" w:type="dxa"/>
            <w:shd w:val="clear" w:color="auto" w:fill="auto"/>
          </w:tcPr>
          <w:p w14:paraId="479A8792">
            <w:pPr>
              <w:rPr>
                <w:rFonts w:ascii="Segoe UI" w:hAnsi="Segoe UI" w:cs="Segoe UI"/>
                <w:b/>
                <w:bCs/>
                <w:sz w:val="16"/>
                <w:szCs w:val="16"/>
                <w:lang w:val="en-US"/>
              </w:rPr>
            </w:pPr>
            <w:r>
              <w:rPr>
                <w:rFonts w:ascii="Segoe UI" w:hAnsi="Segoe UI" w:cs="Segoe UI"/>
                <w:sz w:val="16"/>
                <w:szCs w:val="16"/>
                <w:lang w:val="en-US"/>
              </w:rPr>
              <w:t>Color:</w:t>
            </w:r>
          </w:p>
        </w:tc>
        <w:tc>
          <w:tcPr>
            <w:tcW w:w="8082" w:type="dxa"/>
            <w:shd w:val="clear" w:color="auto" w:fill="auto"/>
          </w:tcPr>
          <w:p w14:paraId="26409F04">
            <w:pPr>
              <w:rPr>
                <w:rFonts w:ascii="Segoe UI" w:hAnsi="Segoe UI" w:cs="Segoe UI"/>
                <w:sz w:val="16"/>
                <w:szCs w:val="16"/>
                <w:highlight w:val="yellow"/>
                <w:lang w:val="en-US"/>
              </w:rPr>
            </w:pPr>
            <w:r>
              <w:rPr>
                <w:rFonts w:hint="default" w:ascii="Segoe UI" w:hAnsi="Segoe UI"/>
                <w:sz w:val="16"/>
                <w:szCs w:val="16"/>
                <w:highlight w:val="yellow"/>
                <w:lang w:val="pt-BR"/>
              </w:rPr>
              <w:t>Y</w:t>
            </w:r>
            <w:r>
              <w:rPr>
                <w:rFonts w:hint="default" w:ascii="Segoe UI" w:hAnsi="Segoe UI"/>
                <w:sz w:val="16"/>
                <w:szCs w:val="16"/>
                <w:highlight w:val="yellow"/>
                <w:lang w:val="en-US"/>
              </w:rPr>
              <w:t>ellow to gold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yellow"/>
                <w:lang w:val="en-US"/>
              </w:rPr>
            </w:pPr>
            <w:r>
              <w:rPr>
                <w:rFonts w:hint="default" w:ascii="Segoe UI" w:hAnsi="Segoe UI"/>
                <w:sz w:val="16"/>
                <w:szCs w:val="16"/>
                <w:highlight w:val="yellow"/>
                <w:lang w:val="en-US"/>
              </w:rPr>
              <w:t>217.99 °F (103.33 °C)</w:t>
            </w:r>
          </w:p>
        </w:tc>
      </w:tr>
      <w:tr w14:paraId="784F9A6F">
        <w:tblPrEx>
          <w:tblCellMar>
            <w:top w:w="57" w:type="dxa"/>
            <w:left w:w="70" w:type="dxa"/>
            <w:bottom w:w="57" w:type="dxa"/>
            <w:right w:w="70" w:type="dxa"/>
          </w:tblCellMar>
        </w:tblPrEx>
        <w:trPr>
          <w:trHeight w:val="170" w:hRule="atLeast"/>
        </w:trPr>
        <w:tc>
          <w:tcPr>
            <w:tcW w:w="2691" w:type="dxa"/>
            <w:shd w:val="clear" w:color="auto" w:fill="auto"/>
          </w:tcPr>
          <w:p w14:paraId="0421BB0C">
            <w:pPr>
              <w:rPr>
                <w:rFonts w:ascii="Segoe UI" w:hAnsi="Segoe UI" w:cs="Segoe UI"/>
                <w:sz w:val="16"/>
                <w:szCs w:val="16"/>
                <w:highlight w:val="none"/>
                <w:lang w:val="en-US"/>
              </w:rPr>
            </w:pPr>
            <w:r>
              <w:rPr>
                <w:rFonts w:ascii="Segoe UI" w:hAnsi="Segoe UI" w:cs="Segoe UI"/>
                <w:sz w:val="16"/>
                <w:szCs w:val="16"/>
                <w:highlight w:val="none"/>
                <w:lang w:val="en-US"/>
              </w:rPr>
              <w:t>Vapor pressure:</w:t>
            </w:r>
          </w:p>
        </w:tc>
        <w:tc>
          <w:tcPr>
            <w:tcW w:w="8082" w:type="dxa"/>
            <w:shd w:val="clear" w:color="auto" w:fill="auto"/>
          </w:tcPr>
          <w:p w14:paraId="2AB08C6C">
            <w:pPr>
              <w:rPr>
                <w:rFonts w:hint="default" w:ascii="Segoe UI" w:hAnsi="Segoe UI"/>
                <w:sz w:val="16"/>
                <w:szCs w:val="16"/>
                <w:highlight w:val="yellow"/>
                <w:lang w:val="en-US"/>
              </w:rPr>
            </w:pPr>
            <w:r>
              <w:rPr>
                <w:rFonts w:hint="default" w:ascii="Segoe UI" w:hAnsi="Segoe UI"/>
                <w:sz w:val="16"/>
                <w:szCs w:val="16"/>
                <w:highlight w:val="yellow"/>
                <w:lang w:val="en-US"/>
              </w:rPr>
              <w:t xml:space="preserve"> .04 hPa (0.04 hPa)</w:t>
            </w:r>
          </w:p>
          <w:p w14:paraId="59E42FC6">
            <w:pPr>
              <w:rPr>
                <w:rFonts w:ascii="Segoe UI" w:hAnsi="Segoe UI" w:cs="Segoe UI"/>
                <w:sz w:val="16"/>
                <w:szCs w:val="16"/>
                <w:highlight w:val="yellow"/>
                <w:lang w:val="en-US"/>
              </w:rPr>
            </w:pPr>
            <w:r>
              <w:rPr>
                <w:rFonts w:hint="default" w:ascii="Segoe UI" w:hAnsi="Segoe UI"/>
                <w:sz w:val="16"/>
                <w:szCs w:val="16"/>
                <w:highlight w:val="yellow"/>
                <w:lang w:val="en-US"/>
              </w:rPr>
              <w:t>Note: Calculated</w:t>
            </w:r>
          </w:p>
        </w:tc>
      </w:tr>
      <w:tr w14:paraId="730E638A">
        <w:tblPrEx>
          <w:tblCellMar>
            <w:top w:w="57" w:type="dxa"/>
            <w:left w:w="70" w:type="dxa"/>
            <w:bottom w:w="57" w:type="dxa"/>
            <w:right w:w="70" w:type="dxa"/>
          </w:tblCellMar>
        </w:tblPrEx>
        <w:trPr>
          <w:trHeight w:val="170" w:hRule="atLeast"/>
        </w:trPr>
        <w:tc>
          <w:tcPr>
            <w:tcW w:w="2691" w:type="dxa"/>
            <w:shd w:val="clear" w:color="auto" w:fill="auto"/>
          </w:tcPr>
          <w:p w14:paraId="521415A1">
            <w:pPr>
              <w:rPr>
                <w:rFonts w:ascii="Segoe UI" w:hAnsi="Segoe UI" w:cs="Segoe UI"/>
                <w:sz w:val="16"/>
                <w:szCs w:val="16"/>
                <w:lang w:val="en-US"/>
              </w:rPr>
            </w:pPr>
            <w:r>
              <w:rPr>
                <w:rFonts w:ascii="Segoe UI" w:hAnsi="Segoe UI" w:cs="Segoe UI"/>
                <w:sz w:val="16"/>
                <w:szCs w:val="16"/>
                <w:lang w:val="en-US"/>
              </w:rPr>
              <w:t>Relative density (20 ºC):</w:t>
            </w:r>
          </w:p>
        </w:tc>
        <w:tc>
          <w:tcPr>
            <w:tcW w:w="8082" w:type="dxa"/>
            <w:shd w:val="clear" w:color="auto" w:fill="auto"/>
          </w:tcPr>
          <w:p w14:paraId="38223C7C">
            <w:pPr>
              <w:rPr>
                <w:rFonts w:ascii="Segoe UI" w:hAnsi="Segoe UI" w:cs="Segoe UI"/>
                <w:sz w:val="16"/>
                <w:szCs w:val="16"/>
                <w:highlight w:val="yellow"/>
                <w:lang w:val="en-US"/>
              </w:rPr>
            </w:pPr>
            <w:r>
              <w:rPr>
                <w:rFonts w:hint="default" w:ascii="Segoe UI" w:hAnsi="Segoe UI"/>
                <w:sz w:val="16"/>
                <w:szCs w:val="16"/>
                <w:highlight w:val="yellow"/>
                <w:lang w:val="en-US"/>
              </w:rPr>
              <w:t>0.9972 - 1.0072</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yellow"/>
                <w:lang w:val="en-US"/>
              </w:rPr>
            </w:pPr>
            <w:r>
              <w:rPr>
                <w:rFonts w:ascii="Segoe UI" w:hAnsi="Segoe UI" w:cs="Segoe UI"/>
                <w:sz w:val="16"/>
                <w:szCs w:val="16"/>
                <w:highlight w:val="yellow"/>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yellow"/>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yellow"/>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yellow"/>
                <w:lang w:val="en-US"/>
              </w:rPr>
            </w:pPr>
            <w:r>
              <w:rPr>
                <w:rFonts w:ascii="Segoe UI" w:hAnsi="Segoe UI" w:cs="Segoe UI"/>
                <w:sz w:val="16"/>
                <w:szCs w:val="16"/>
                <w:highlight w:val="yellow"/>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yellow"/>
                <w:lang w:val="en-US"/>
              </w:rPr>
            </w:pPr>
            <w:r>
              <w:rPr>
                <w:rFonts w:ascii="Segoe UI" w:hAnsi="Segoe UI" w:cs="Segoe UI"/>
                <w:sz w:val="16"/>
                <w:szCs w:val="16"/>
                <w:highlight w:val="yellow"/>
                <w:lang w:val="en-US"/>
              </w:rPr>
              <w:t>ENVIRONMENTALLY HAZARDOUS SUBSTANCE, LIQUID, N.O.S. (</w:t>
            </w:r>
            <w:r>
              <w:rPr>
                <w:rFonts w:hint="default" w:ascii="Segoe UI" w:hAnsi="Segoe UI" w:cs="Segoe UI"/>
                <w:sz w:val="16"/>
                <w:szCs w:val="16"/>
                <w:highlight w:val="yellow"/>
                <w:lang w:val="en-US"/>
              </w:rPr>
              <w:t>CEDR-8-ENYL METHYL KETONE</w:t>
            </w:r>
            <w:r>
              <w:rPr>
                <w:rFonts w:ascii="Segoe UI" w:hAnsi="Segoe UI" w:cs="Segoe UI"/>
                <w:sz w:val="16"/>
                <w:szCs w:val="16"/>
                <w:highlight w:val="yellow"/>
                <w:lang w:val="en-US"/>
              </w:rPr>
              <w:t>)</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yellow"/>
                <w:lang w:val="en-US"/>
              </w:rPr>
            </w:pPr>
            <w:r>
              <w:rPr>
                <w:rFonts w:ascii="Segoe UI" w:hAnsi="Segoe UI" w:cs="Segoe UI"/>
                <w:sz w:val="16"/>
                <w:szCs w:val="16"/>
                <w:highlight w:val="yellow"/>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yellow"/>
                <w:lang w:val="en-US"/>
              </w:rPr>
            </w:pPr>
            <w:r>
              <w:rPr>
                <w:rFonts w:ascii="Segoe UI" w:hAnsi="Segoe UI" w:cs="Segoe UI"/>
                <w:sz w:val="16"/>
                <w:szCs w:val="16"/>
                <w:highlight w:val="yellow"/>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yellow"/>
                <w:lang w:val="en-US"/>
              </w:rPr>
            </w:pPr>
            <w:r>
              <w:rPr>
                <w:rFonts w:ascii="Segoe UI" w:hAnsi="Segoe UI" w:cs="Segoe UI"/>
                <w:sz w:val="16"/>
                <w:szCs w:val="16"/>
                <w:highlight w:val="yellow"/>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yellow"/>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yellow"/>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yellow"/>
                <w:lang w:val="en-US"/>
              </w:rPr>
            </w:pPr>
            <w:r>
              <w:rPr>
                <w:rFonts w:ascii="Segoe UI" w:hAnsi="Segoe UI" w:cs="Segoe UI"/>
                <w:sz w:val="16"/>
                <w:szCs w:val="16"/>
                <w:highlight w:val="yellow"/>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yellow"/>
                <w:lang w:val="en-US"/>
              </w:rPr>
            </w:pPr>
            <w:r>
              <w:rPr>
                <w:rFonts w:ascii="Segoe UI" w:hAnsi="Segoe UI" w:cs="Segoe UI"/>
                <w:sz w:val="16"/>
                <w:szCs w:val="16"/>
                <w:highlight w:val="yellow"/>
                <w:lang w:val="en-US"/>
              </w:rPr>
              <w:t>ENVIRONMENTALLY HAZARDOUS SUBSTANCE, LIQUID, N.O.S. (</w:t>
            </w:r>
            <w:r>
              <w:rPr>
                <w:rFonts w:hint="default" w:ascii="Segoe UI" w:hAnsi="Segoe UI" w:cs="Segoe UI"/>
                <w:sz w:val="16"/>
                <w:szCs w:val="16"/>
                <w:highlight w:val="yellow"/>
                <w:lang w:val="en-US"/>
              </w:rPr>
              <w:t>CEDR-8-ENYL METHYL KETONE</w:t>
            </w:r>
            <w:r>
              <w:rPr>
                <w:rFonts w:ascii="Segoe UI" w:hAnsi="Segoe UI" w:cs="Segoe UI"/>
                <w:sz w:val="16"/>
                <w:szCs w:val="16"/>
                <w:highlight w:val="yellow"/>
                <w:lang w:val="en-US"/>
              </w:rPr>
              <w:t>)</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ascii="Segoe UI" w:hAnsi="Segoe UI" w:cs="Segoe UI"/>
                <w:sz w:val="16"/>
                <w:szCs w:val="16"/>
                <w:highlight w:val="yellow"/>
                <w:lang w:val="en-US"/>
              </w:rPr>
              <w:t>(</w:t>
            </w:r>
            <w:r>
              <w:rPr>
                <w:rFonts w:hint="default" w:ascii="Segoe UI" w:hAnsi="Segoe UI" w:cs="Segoe UI"/>
                <w:sz w:val="16"/>
                <w:szCs w:val="16"/>
                <w:highlight w:val="yellow"/>
                <w:lang w:val="en-US"/>
              </w:rPr>
              <w:t>CEDR-8-ENYL METHYL KETONE</w:t>
            </w:r>
            <w:r>
              <w:rPr>
                <w:rFonts w:ascii="Segoe UI" w:hAnsi="Segoe UI" w:cs="Segoe UI"/>
                <w:sz w:val="16"/>
                <w:szCs w:val="16"/>
                <w:highlight w:val="yellow"/>
                <w:lang w:val="en-US"/>
              </w:rPr>
              <w:t>)</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yellow"/>
                <w:lang w:val="en-US"/>
              </w:rPr>
            </w:pPr>
            <w:r>
              <w:rPr>
                <w:rFonts w:hint="default" w:ascii="Segoe UI" w:hAnsi="Segoe UI"/>
                <w:sz w:val="16"/>
                <w:szCs w:val="16"/>
                <w:highlight w:val="yellow"/>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lang w:val="en-US"/>
              </w:rPr>
            </w:pPr>
            <w:r>
              <w:rPr>
                <w:rFonts w:hint="default" w:ascii="Segoe UI" w:hAnsi="Segoe UI"/>
                <w:sz w:val="16"/>
                <w:szCs w:val="16"/>
                <w:highlight w:val="yellow"/>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BB36F77">
            <w:pPr>
              <w:rPr>
                <w:rFonts w:hint="default" w:ascii="Segoe UI" w:hAnsi="Segoe UI" w:cs="Segoe UI"/>
                <w:sz w:val="16"/>
                <w:szCs w:val="16"/>
                <w:highlight w:val="yellow"/>
                <w:lang w:val="pt-BR"/>
              </w:rPr>
            </w:pPr>
            <w:r>
              <w:rPr>
                <w:rFonts w:hint="default" w:ascii="Segoe UI" w:hAnsi="Segoe UI" w:cs="Segoe UI"/>
                <w:sz w:val="16"/>
                <w:szCs w:val="16"/>
                <w:highlight w:val="yellow"/>
                <w:lang w:val="en-US" w:eastAsia="zh-CN"/>
              </w:rPr>
              <w:t xml:space="preserve">SARA 313 Components </w:t>
            </w:r>
            <w:r>
              <w:rPr>
                <w:rFonts w:hint="default" w:ascii="Segoe UI" w:hAnsi="Segoe UI" w:cs="Segoe UI"/>
                <w:sz w:val="16"/>
                <w:szCs w:val="16"/>
                <w:highlight w:val="yellow"/>
                <w:lang w:val="pt-BR" w:eastAsia="zh-CN"/>
              </w:rPr>
              <w:t>:</w:t>
            </w:r>
          </w:p>
          <w:p w14:paraId="04DBB6C7">
            <w:pPr>
              <w:rPr>
                <w:rFonts w:ascii="Segoe UI" w:hAnsi="Segoe UI" w:cs="Segoe UI"/>
                <w:sz w:val="16"/>
                <w:szCs w:val="16"/>
                <w:highlight w:val="yellow"/>
              </w:rPr>
            </w:pPr>
            <w:r>
              <w:rPr>
                <w:rFonts w:ascii="Segoe UI" w:hAnsi="Segoe UI" w:cs="Segoe UI"/>
                <w:sz w:val="16"/>
                <w:szCs w:val="16"/>
                <w:highlight w:val="yellow"/>
              </w:rPr>
              <w:t>SARA 311/312 Hazards</w:t>
            </w:r>
            <w:r>
              <w:rPr>
                <w:rFonts w:hint="default" w:ascii="Segoe UI" w:hAnsi="Segoe UI" w:cs="Segoe UI"/>
                <w:sz w:val="16"/>
                <w:szCs w:val="16"/>
                <w:highlight w:val="yellow"/>
                <w:lang w:val="pt-BR"/>
              </w:rPr>
              <w:t xml:space="preserve"> </w:t>
            </w:r>
            <w:r>
              <w:rPr>
                <w:rFonts w:ascii="Segoe UI" w:hAnsi="Segoe UI" w:cs="Segoe UI"/>
                <w:sz w:val="16"/>
                <w:szCs w:val="16"/>
                <w:highlight w:val="yellow"/>
              </w:rPr>
              <w:t>:</w:t>
            </w:r>
          </w:p>
        </w:tc>
        <w:tc>
          <w:tcPr>
            <w:tcW w:w="8082" w:type="dxa"/>
            <w:shd w:val="clear" w:color="auto" w:fill="auto"/>
          </w:tcPr>
          <w:p w14:paraId="68F2EFAE">
            <w:pPr>
              <w:keepNext w:val="0"/>
              <w:keepLines w:val="0"/>
              <w:widowControl/>
              <w:suppressLineNumbers w:val="0"/>
              <w:jc w:val="left"/>
              <w:rPr>
                <w:rFonts w:ascii="Segoe UI" w:hAnsi="Segoe UI" w:cs="Segoe UI"/>
                <w:sz w:val="16"/>
                <w:szCs w:val="16"/>
                <w:highlight w:val="yellow"/>
                <w:lang w:val="en-US"/>
              </w:rPr>
            </w:pPr>
            <w:r>
              <w:rPr>
                <w:rFonts w:ascii="Segoe UI" w:hAnsi="Segoe UI" w:eastAsia="Times New Roman" w:cs="Segoe UI"/>
                <w:sz w:val="16"/>
                <w:szCs w:val="16"/>
                <w:highlight w:val="yellow"/>
                <w:lang w:val="en-US" w:eastAsia="zh-CN" w:bidi="ar-SA"/>
              </w:rPr>
              <w:t xml:space="preserve">HEXAMETHYLINDANOPYRAN </w:t>
            </w:r>
            <w:r>
              <w:rPr>
                <w:rFonts w:hint="default" w:ascii="Segoe UI" w:hAnsi="Segoe UI" w:eastAsia="Times New Roman" w:cs="Segoe UI"/>
                <w:sz w:val="16"/>
                <w:szCs w:val="16"/>
                <w:highlight w:val="yellow"/>
                <w:lang w:val="en-US" w:eastAsia="zh-CN" w:bidi="ar-SA"/>
              </w:rPr>
              <w:t>1222-05-5</w:t>
            </w:r>
          </w:p>
          <w:p w14:paraId="2C42BF69">
            <w:pPr>
              <w:rPr>
                <w:rFonts w:hint="default" w:ascii="Segoe UI" w:hAnsi="Segoe UI"/>
                <w:sz w:val="16"/>
                <w:szCs w:val="16"/>
                <w:highlight w:val="yellow"/>
                <w:lang w:val="en-US"/>
              </w:rPr>
            </w:pPr>
            <w:r>
              <w:rPr>
                <w:rFonts w:hint="default" w:ascii="Segoe UI" w:hAnsi="Segoe UI"/>
                <w:sz w:val="16"/>
                <w:szCs w:val="16"/>
                <w:highlight w:val="yellow"/>
                <w:lang w:val="en-US"/>
              </w:rPr>
              <w:t>Skin corrosion or irritation</w:t>
            </w:r>
          </w:p>
          <w:p w14:paraId="6B089348">
            <w:pPr>
              <w:rPr>
                <w:rFonts w:hint="default" w:ascii="Segoe UI" w:hAnsi="Segoe UI"/>
                <w:sz w:val="16"/>
                <w:szCs w:val="16"/>
                <w:highlight w:val="yellow"/>
                <w:lang w:val="en-US"/>
              </w:rPr>
            </w:pPr>
            <w:r>
              <w:rPr>
                <w:rFonts w:hint="default" w:ascii="Segoe UI" w:hAnsi="Segoe UI"/>
                <w:sz w:val="16"/>
                <w:szCs w:val="16"/>
                <w:highlight w:val="yellow"/>
                <w:lang w:val="en-US"/>
              </w:rPr>
              <w:t>Serious eye damage or eye irritation</w:t>
            </w:r>
          </w:p>
          <w:p w14:paraId="5505742A">
            <w:pPr>
              <w:rPr>
                <w:rFonts w:hint="default" w:ascii="Segoe UI" w:hAnsi="Segoe UI"/>
                <w:sz w:val="16"/>
                <w:szCs w:val="16"/>
                <w:highlight w:val="yellow"/>
                <w:lang w:val="en-US"/>
              </w:rPr>
            </w:pPr>
            <w:r>
              <w:rPr>
                <w:rFonts w:hint="default" w:ascii="Segoe UI" w:hAnsi="Segoe UI"/>
                <w:sz w:val="16"/>
                <w:szCs w:val="16"/>
                <w:highlight w:val="yellow"/>
                <w:lang w:val="en-US"/>
              </w:rPr>
              <w:t>Respiratory or skin sensitisation</w:t>
            </w:r>
          </w:p>
          <w:p w14:paraId="67F55A44">
            <w:pPr>
              <w:rPr>
                <w:rFonts w:ascii="Segoe UI" w:hAnsi="Segoe UI" w:cs="Segoe UI"/>
                <w:sz w:val="16"/>
                <w:szCs w:val="16"/>
                <w:highlight w:val="yellow"/>
                <w:lang w:val="en-US"/>
              </w:rPr>
            </w:pPr>
            <w:r>
              <w:rPr>
                <w:rFonts w:hint="default" w:ascii="Segoe UI" w:hAnsi="Segoe UI"/>
                <w:sz w:val="16"/>
                <w:szCs w:val="16"/>
                <w:highlight w:val="yellow"/>
                <w:lang w:val="en-US"/>
              </w:rPr>
              <w:t>Reproductive toxicity</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yellow"/>
                <w:lang w:val="en-US"/>
              </w:rPr>
            </w:pPr>
            <w:r>
              <w:rPr>
                <w:rFonts w:ascii="Segoe UI" w:hAnsi="Segoe UI" w:cs="Segoe UI"/>
                <w:sz w:val="16"/>
                <w:szCs w:val="16"/>
                <w:highlight w:val="yellow"/>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yellow"/>
                <w:lang w:val="pt-BR"/>
              </w:rPr>
            </w:pPr>
            <w:r>
              <w:rPr>
                <w:rFonts w:hint="default" w:ascii="Segoe UI" w:hAnsi="Segoe UI" w:cs="Segoe UI"/>
                <w:sz w:val="16"/>
                <w:szCs w:val="16"/>
                <w:highlight w:val="yellow"/>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yellow"/>
                <w:lang w:val="pt-BR"/>
              </w:rPr>
            </w:pPr>
            <w:r>
              <w:rPr>
                <w:rFonts w:hint="default" w:ascii="Segoe UI" w:hAnsi="Segoe UI" w:cs="Segoe UI"/>
                <w:sz w:val="16"/>
                <w:szCs w:val="16"/>
                <w:highlight w:val="yellow"/>
                <w:lang w:val="pt-BR"/>
              </w:rPr>
              <w:t>1</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yellow"/>
                <w:lang w:val="en-US"/>
              </w:rPr>
            </w:pPr>
            <w:r>
              <w:rPr>
                <w:rFonts w:ascii="Segoe UI" w:hAnsi="Segoe UI" w:cs="Segoe UI"/>
                <w:sz w:val="16"/>
                <w:szCs w:val="16"/>
                <w:highlight w:val="yellow"/>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629D3939">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97"/>
      <w:gridCol w:w="5543"/>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b/>
              <w:bCs/>
              <w:sz w:val="16"/>
              <w:szCs w:val="16"/>
              <w:highlight w:val="none"/>
              <w:lang w:val="pt-BR"/>
            </w:rPr>
            <w:t>07/02/2025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473F3000">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Product:</w:t>
          </w:r>
          <w:r>
            <w:rPr>
              <w:rFonts w:ascii="Segoe UI" w:hAnsi="Segoe UI" w:cs="Segoe UI" w:eastAsiaTheme="minorEastAsia"/>
              <w:b/>
              <w:bCs/>
              <w:sz w:val="16"/>
              <w:szCs w:val="16"/>
              <w:highlight w:val="yellow"/>
              <w:lang w:val="en-US"/>
            </w:rPr>
            <w:t xml:space="preserve"> </w:t>
          </w:r>
          <w:r>
            <w:rPr>
              <w:rFonts w:hint="default" w:ascii="Segoe UI" w:hAnsi="Segoe UI" w:eastAsiaTheme="minorEastAsia"/>
              <w:b/>
              <w:bCs/>
              <w:color w:val="auto"/>
              <w:sz w:val="16"/>
              <w:szCs w:val="16"/>
              <w:highlight w:val="yellow"/>
              <w:lang w:val="en-US"/>
            </w:rPr>
            <w:t>SCE496426</w:t>
          </w:r>
          <w:r>
            <w:rPr>
              <w:rFonts w:hint="default" w:ascii="Segoe UI" w:hAnsi="Segoe UI" w:eastAsiaTheme="minorEastAsia"/>
              <w:b/>
              <w:bCs/>
              <w:color w:val="auto"/>
              <w:sz w:val="16"/>
              <w:szCs w:val="16"/>
              <w:highlight w:val="yellow"/>
              <w:lang w:val="pt-BR"/>
            </w:rPr>
            <w:t xml:space="preserve"> </w:t>
          </w:r>
          <w:r>
            <w:rPr>
              <w:rFonts w:hint="default" w:ascii="Segoe UI" w:hAnsi="Segoe UI" w:eastAsiaTheme="minorEastAsia"/>
              <w:b/>
              <w:bCs/>
              <w:color w:val="auto"/>
              <w:sz w:val="16"/>
              <w:szCs w:val="16"/>
              <w:highlight w:val="yellow"/>
              <w:lang w:val="en-US"/>
            </w:rPr>
            <w:t>- FRAGRANCE 962126 - 6189332</w:t>
          </w:r>
        </w:p>
      </w:tc>
      <w:tc>
        <w:tcPr>
          <w:tcW w:w="5244" w:type="dxa"/>
        </w:tcPr>
        <w:p w14:paraId="5FB9B0BF">
          <w:pPr>
            <w:tabs>
              <w:tab w:val="left" w:pos="5280"/>
            </w:tabs>
            <w:spacing w:after="40"/>
            <w:jc w:val="right"/>
            <w:rPr>
              <w:rFonts w:hint="default" w:ascii="Segoe UI" w:hAnsi="Segoe UI" w:cs="Segoe UI"/>
              <w:b/>
              <w:bCs/>
              <w:sz w:val="16"/>
              <w:szCs w:val="16"/>
              <w:highlight w:val="none"/>
              <w:lang w:val="pt-BR"/>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02/07/2025</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B172AAB"/>
    <w:rsid w:val="0D42716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0</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