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45111A8C">
            <w:pPr>
              <w:rPr>
                <w:rFonts w:hint="default" w:ascii="Segoe UI" w:hAnsi="Segoe UI" w:eastAsia="Times New Roman" w:cs="Times New Roman"/>
                <w:sz w:val="18"/>
                <w:szCs w:val="18"/>
              </w:rPr>
            </w:pPr>
            <w:r>
              <w:rPr>
                <w:rFonts w:hint="default" w:ascii="Segoe UI" w:hAnsi="Segoe UI" w:eastAsia="Times New Roman"/>
                <w:sz w:val="18"/>
                <w:szCs w:val="18"/>
              </w:rPr>
              <w:t>DIVEINE NOIR</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SCE823636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7C901B39">
            <w:pPr>
              <w:rPr>
                <w:rFonts w:hint="default" w:ascii="Segoe UI" w:hAnsi="Segoe UI"/>
                <w:sz w:val="16"/>
                <w:szCs w:val="16"/>
                <w:lang w:val="en-US"/>
              </w:rPr>
            </w:pPr>
            <w:r>
              <w:rPr>
                <w:rFonts w:hint="default" w:ascii="Segoe UI" w:hAnsi="Segoe UI"/>
                <w:sz w:val="16"/>
                <w:szCs w:val="16"/>
                <w:lang w:val="en-US"/>
              </w:rPr>
              <w:t>Flammable liquids, Category 4</w:t>
            </w:r>
          </w:p>
          <w:p w14:paraId="77F0C177">
            <w:pPr>
              <w:rPr>
                <w:rFonts w:hint="default" w:ascii="Segoe UI" w:hAnsi="Segoe UI"/>
                <w:sz w:val="16"/>
                <w:szCs w:val="16"/>
                <w:lang w:val="en-US"/>
              </w:rPr>
            </w:pPr>
            <w:r>
              <w:rPr>
                <w:rFonts w:hint="default" w:ascii="Segoe UI" w:hAnsi="Segoe UI"/>
                <w:sz w:val="16"/>
                <w:szCs w:val="16"/>
                <w:lang w:val="en-US"/>
              </w:rPr>
              <w:t>Skin irritation, Category 2</w:t>
            </w:r>
          </w:p>
          <w:p w14:paraId="2A19F6A9">
            <w:pPr>
              <w:rPr>
                <w:rFonts w:hint="default" w:ascii="Segoe UI" w:hAnsi="Segoe UI"/>
                <w:sz w:val="16"/>
                <w:szCs w:val="16"/>
                <w:lang w:val="en-US"/>
              </w:rPr>
            </w:pPr>
            <w:r>
              <w:rPr>
                <w:rFonts w:hint="default" w:ascii="Segoe UI" w:hAnsi="Segoe UI"/>
                <w:sz w:val="16"/>
                <w:szCs w:val="16"/>
                <w:lang w:val="en-US"/>
              </w:rPr>
              <w:t>Serious eye damage, Category 1</w:t>
            </w:r>
          </w:p>
          <w:p w14:paraId="4262AA80">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highlight w:val="none"/>
              </w:rPr>
              <w:drawing>
                <wp:inline distT="0" distB="0" distL="114300" distR="114300">
                  <wp:extent cx="720090" cy="720090"/>
                  <wp:effectExtent l="0" t="0" r="3810" b="3810"/>
                  <wp:docPr id="3" name="Imagem 1"/>
                  <wp:cNvGraphicFramePr/>
                  <a:graphic xmlns:a="http://schemas.openxmlformats.org/drawingml/2006/main">
                    <a:graphicData uri="http://schemas.openxmlformats.org/drawingml/2006/picture">
                      <pic:pic xmlns:pic="http://schemas.openxmlformats.org/drawingml/2006/picture">
                        <pic:nvPicPr>
                          <pic:cNvPr id="3" name="Imagem 1"/>
                          <pic:cNvPicPr/>
                        </pic:nvPicPr>
                        <pic:blipFill>
                          <a:blip r:embed="rId9"/>
                          <a:stretch>
                            <a:fillRect/>
                          </a:stretch>
                        </pic:blipFill>
                        <pic:spPr>
                          <a:xfrm>
                            <a:off x="0" y="0"/>
                            <a:ext cx="720090" cy="720090"/>
                          </a:xfrm>
                          <a:prstGeom prst="rect">
                            <a:avLst/>
                          </a:prstGeom>
                          <a:noFill/>
                          <a:ln>
                            <a:noFill/>
                          </a:ln>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Danger</w:t>
            </w:r>
            <w:bookmarkStart w:id="0" w:name="_GoBack"/>
            <w:bookmarkEnd w:id="0"/>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BD66517">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0062828E">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1EB9E3C2">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0535E0">
            <w:pPr>
              <w:rPr>
                <w:rFonts w:hint="default" w:ascii="Segoe UI" w:hAnsi="Segoe UI"/>
                <w:sz w:val="16"/>
                <w:szCs w:val="16"/>
                <w:highlight w:val="none"/>
                <w:lang w:val="en-US"/>
              </w:rPr>
            </w:pPr>
            <w:r>
              <w:rPr>
                <w:rFonts w:hint="default" w:ascii="Segoe UI" w:hAnsi="Segoe UI"/>
                <w:sz w:val="16"/>
                <w:szCs w:val="16"/>
                <w:highlight w:val="none"/>
                <w:lang w:val="en-US"/>
              </w:rPr>
              <w:t>H318: Causes serious eye damage.</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43EE3484">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723F6D9E">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10838FF5">
            <w:pPr>
              <w:rPr>
                <w:rFonts w:hint="default" w:ascii="Segoe UI" w:hAnsi="Segoe UI"/>
                <w:sz w:val="16"/>
                <w:szCs w:val="16"/>
                <w:highlight w:val="none"/>
                <w:lang w:val="en-US"/>
              </w:rPr>
            </w:pPr>
            <w:r>
              <w:rPr>
                <w:rFonts w:hint="default" w:ascii="Segoe UI" w:hAnsi="Segoe UI"/>
                <w:sz w:val="16"/>
                <w:szCs w:val="16"/>
                <w:highlight w:val="none"/>
                <w:lang w:val="en-US"/>
              </w:rPr>
              <w:t xml:space="preserve">P280: Wear protective gloves/ protective clothing/ eye protection/ </w:t>
            </w:r>
          </w:p>
          <w:p w14:paraId="5F3B3A9F">
            <w:pPr>
              <w:rPr>
                <w:rFonts w:hint="default" w:ascii="Segoe UI" w:hAnsi="Segoe UI"/>
                <w:sz w:val="16"/>
                <w:szCs w:val="16"/>
                <w:highlight w:val="none"/>
                <w:lang w:val="en-US"/>
              </w:rPr>
            </w:pPr>
            <w:r>
              <w:rPr>
                <w:rFonts w:hint="default" w:ascii="Segoe UI" w:hAnsi="Segoe UI"/>
                <w:sz w:val="16"/>
                <w:szCs w:val="16"/>
                <w:highlight w:val="none"/>
                <w:lang w:val="en-US"/>
              </w:rPr>
              <w:t>face protection.</w:t>
            </w:r>
          </w:p>
          <w:p w14:paraId="01BA3C23">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3B023EB8">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 P310: IF IN EYES: Rinse cautiously with </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water for several minutes. Remove contact lenses, if present and easy to do. Continue rinsing. Immediately call a POISON CENTER/doctor.</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23"/>
            </w:tblGrid>
            <w:tr w14:paraId="267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33" w:type="dxa"/>
                </w:tcPr>
                <w:p w14:paraId="5444A62D">
                  <w:pPr>
                    <w:rPr>
                      <w:rFonts w:hint="default" w:ascii="Segoe UI" w:hAnsi="Segoe UI"/>
                      <w:sz w:val="16"/>
                      <w:szCs w:val="16"/>
                      <w:highlight w:val="none"/>
                      <w:vertAlign w:val="baseline"/>
                      <w:lang w:val="en-US"/>
                    </w:rPr>
                  </w:pPr>
                  <w:r>
                    <w:rPr>
                      <w:rFonts w:hint="default" w:ascii="Segoe UI" w:hAnsi="Segoe UI"/>
                      <w:sz w:val="16"/>
                      <w:szCs w:val="16"/>
                      <w:highlight w:val="none"/>
                      <w:vertAlign w:val="baseline"/>
                      <w:lang w:val="en-US"/>
                    </w:rPr>
                    <w:t xml:space="preserve">IARC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MYRCENE</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 xml:space="preserve">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123-35-3</w:t>
                  </w:r>
                </w:p>
              </w:tc>
            </w:tr>
          </w:tbl>
          <w:p w14:paraId="4DD278B1">
            <w:pPr>
              <w:rPr>
                <w:rFonts w:hint="default" w:ascii="Segoe UI" w:hAnsi="Segoe UI"/>
                <w:sz w:val="16"/>
                <w:szCs w:val="16"/>
                <w:highlight w:val="none"/>
                <w:lang w:val="en-US"/>
              </w:rPr>
            </w:pPr>
          </w:p>
          <w:p w14:paraId="7EDEABBF">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60249963">
            <w:pPr>
              <w:rPr>
                <w:rFonts w:hint="default" w:ascii="Segoe UI" w:hAnsi="Segoe UI"/>
                <w:sz w:val="16"/>
                <w:szCs w:val="16"/>
                <w:lang w:val="en-US"/>
              </w:rPr>
            </w:pPr>
            <w:r>
              <w:rPr>
                <w:rFonts w:hint="default" w:ascii="Segoe UI" w:hAnsi="Segoe UI"/>
                <w:sz w:val="16"/>
                <w:szCs w:val="16"/>
                <w:lang w:val="en-US"/>
              </w:rPr>
              <w:t>Causes skin irritation.</w:t>
            </w:r>
          </w:p>
          <w:p w14:paraId="656FEE90">
            <w:pPr>
              <w:rPr>
                <w:rFonts w:hint="default" w:ascii="Segoe UI" w:hAnsi="Segoe UI"/>
                <w:sz w:val="16"/>
                <w:szCs w:val="16"/>
                <w:lang w:val="en-US"/>
              </w:rPr>
            </w:pPr>
            <w:r>
              <w:rPr>
                <w:rFonts w:hint="default" w:ascii="Segoe UI" w:hAnsi="Segoe UI"/>
                <w:sz w:val="16"/>
                <w:szCs w:val="16"/>
                <w:lang w:val="en-US"/>
              </w:rPr>
              <w:t>May cause an allergic skin reaction.</w:t>
            </w:r>
          </w:p>
          <w:p w14:paraId="6B11FDE9">
            <w:pPr>
              <w:rPr>
                <w:rFonts w:hint="default" w:ascii="Segoe UI" w:hAnsi="Segoe UI"/>
                <w:sz w:val="16"/>
                <w:szCs w:val="16"/>
                <w:lang w:val="en-US"/>
              </w:rPr>
            </w:pPr>
            <w:r>
              <w:rPr>
                <w:rFonts w:hint="default" w:ascii="Segoe UI" w:hAnsi="Segoe UI"/>
                <w:sz w:val="16"/>
                <w:szCs w:val="16"/>
                <w:lang w:val="en-US"/>
              </w:rPr>
              <w:t>Causes serious eye damage.</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174.20 °F (79.00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20FC00CC">
                  <w:pPr>
                    <w:ind w:firstLine="480" w:firstLineChars="300"/>
                    <w:jc w:val="both"/>
                    <w:rPr>
                      <w:rFonts w:hint="default" w:ascii="Segoe UI" w:hAnsi="Segoe UI"/>
                      <w:sz w:val="16"/>
                      <w:szCs w:val="16"/>
                      <w:highlight w:val="none"/>
                      <w:lang w:val="en-US"/>
                    </w:rPr>
                  </w:pPr>
                  <w:r>
                    <w:rPr>
                      <w:rFonts w:hint="default" w:ascii="Segoe UI" w:hAnsi="Segoe UI"/>
                      <w:sz w:val="16"/>
                      <w:szCs w:val="16"/>
                      <w:highlight w:val="none"/>
                      <w:lang w:val="en-US"/>
                    </w:rPr>
                    <w:t>1,2-</w:t>
                  </w:r>
                </w:p>
                <w:p w14:paraId="5FC4EDA9">
                  <w:pPr>
                    <w:jc w:val="both"/>
                    <w:rPr>
                      <w:rFonts w:hint="default" w:ascii="Segoe UI" w:hAnsi="Segoe UI"/>
                      <w:sz w:val="16"/>
                      <w:szCs w:val="16"/>
                      <w:highlight w:val="none"/>
                      <w:lang w:val="en-US"/>
                    </w:rPr>
                  </w:pPr>
                  <w:r>
                    <w:rPr>
                      <w:rFonts w:hint="default" w:ascii="Segoe UI" w:hAnsi="Segoe UI"/>
                      <w:sz w:val="16"/>
                      <w:szCs w:val="16"/>
                      <w:highlight w:val="none"/>
                      <w:lang w:val="en-US"/>
                    </w:rPr>
                    <w:t>Benzenedicarboxyli</w:t>
                  </w:r>
                </w:p>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c acid, diethyl ester</w:t>
                  </w:r>
                </w:p>
              </w:tc>
              <w:tc>
                <w:tcPr>
                  <w:tcW w:w="2580" w:type="dxa"/>
                </w:tcPr>
                <w:p w14:paraId="37CDFAB6">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3C14FCA7">
                  <w:pPr>
                    <w:jc w:val="center"/>
                    <w:rPr>
                      <w:rFonts w:ascii="Segoe UI" w:hAnsi="Segoe UI" w:cs="Segoe UI"/>
                      <w:sz w:val="16"/>
                      <w:szCs w:val="16"/>
                      <w:highlight w:val="none"/>
                      <w:lang w:val="en-US"/>
                    </w:rPr>
                  </w:pPr>
                  <w:r>
                    <w:rPr>
                      <w:rFonts w:hint="default" w:ascii="Segoe UI" w:hAnsi="Segoe UI"/>
                      <w:sz w:val="16"/>
                      <w:szCs w:val="16"/>
                      <w:highlight w:val="none"/>
                      <w:lang w:val="en-US"/>
                    </w:rPr>
                    <w:t>5 mg/m3</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tcPr>
                <w:p w14:paraId="27595B72">
                  <w:pPr>
                    <w:ind w:firstLine="480" w:firstLineChars="300"/>
                    <w:jc w:val="both"/>
                    <w:rPr>
                      <w:rFonts w:hint="default" w:ascii="Segoe UI" w:hAnsi="Segoe UI"/>
                      <w:sz w:val="16"/>
                      <w:szCs w:val="16"/>
                      <w:highlight w:val="none"/>
                      <w:lang w:val="en-US"/>
                    </w:rPr>
                  </w:pPr>
                  <w:r>
                    <w:rPr>
                      <w:rFonts w:hint="default" w:ascii="Segoe UI" w:hAnsi="Segoe UI"/>
                      <w:sz w:val="16"/>
                      <w:szCs w:val="16"/>
                      <w:highlight w:val="none"/>
                      <w:lang w:val="en-US"/>
                    </w:rPr>
                    <w:t>1,2-</w:t>
                  </w:r>
                </w:p>
                <w:p w14:paraId="25DA2E75">
                  <w:pPr>
                    <w:jc w:val="both"/>
                    <w:rPr>
                      <w:rFonts w:hint="default" w:ascii="Segoe UI" w:hAnsi="Segoe UI"/>
                      <w:sz w:val="16"/>
                      <w:szCs w:val="16"/>
                      <w:highlight w:val="none"/>
                      <w:lang w:val="en-US"/>
                    </w:rPr>
                  </w:pPr>
                  <w:r>
                    <w:rPr>
                      <w:rFonts w:hint="default" w:ascii="Segoe UI" w:hAnsi="Segoe UI"/>
                      <w:sz w:val="16"/>
                      <w:szCs w:val="16"/>
                      <w:highlight w:val="none"/>
                      <w:lang w:val="en-US"/>
                    </w:rPr>
                    <w:t>Benzenedicarboxyli</w:t>
                  </w:r>
                </w:p>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c acid, diethyl ester</w:t>
                  </w:r>
                </w:p>
              </w:tc>
              <w:tc>
                <w:tcPr>
                  <w:tcW w:w="2580" w:type="dxa"/>
                </w:tcPr>
                <w:p w14:paraId="71C4A73A">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NIOSH Recommended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Exposure Limits</w:t>
                  </w:r>
                </w:p>
              </w:tc>
              <w:tc>
                <w:tcPr>
                  <w:tcW w:w="2574" w:type="dxa"/>
                </w:tcPr>
                <w:p w14:paraId="30C82FA6">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Time-weighted average </w:t>
                  </w:r>
                </w:p>
                <w:p w14:paraId="11E60475">
                  <w:pPr>
                    <w:jc w:val="center"/>
                    <w:rPr>
                      <w:rFonts w:hint="default" w:ascii="Segoe UI" w:hAnsi="Segoe UI"/>
                      <w:sz w:val="16"/>
                      <w:szCs w:val="16"/>
                      <w:highlight w:val="none"/>
                      <w:lang w:val="en-US"/>
                    </w:rPr>
                  </w:pPr>
                  <w:r>
                    <w:rPr>
                      <w:rFonts w:hint="default" w:ascii="Segoe UI" w:hAnsi="Segoe UI"/>
                      <w:sz w:val="16"/>
                      <w:szCs w:val="16"/>
                      <w:highlight w:val="none"/>
                      <w:lang w:val="en-US"/>
                    </w:rPr>
                    <w:t>concentration for up to a 10-hour workday during a 40-hour</w:t>
                  </w:r>
                </w:p>
                <w:p w14:paraId="2B81EBEE">
                  <w:pPr>
                    <w:jc w:val="center"/>
                    <w:rPr>
                      <w:rFonts w:hint="default" w:ascii="Segoe UI" w:hAnsi="Segoe UI"/>
                      <w:sz w:val="16"/>
                      <w:szCs w:val="16"/>
                      <w:highlight w:val="none"/>
                      <w:lang w:val="en-US"/>
                    </w:rPr>
                  </w:pPr>
                  <w:r>
                    <w:rPr>
                      <w:rFonts w:hint="default" w:ascii="Segoe UI" w:hAnsi="Segoe UI"/>
                      <w:sz w:val="16"/>
                      <w:szCs w:val="16"/>
                      <w:highlight w:val="none"/>
                      <w:lang w:val="en-US"/>
                    </w:rPr>
                    <w:t>workweek</w:t>
                  </w:r>
                </w:p>
              </w:tc>
              <w:tc>
                <w:tcPr>
                  <w:tcW w:w="2672" w:type="dxa"/>
                </w:tcPr>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5 mg/m3</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676684F3">
                  <w:pPr>
                    <w:ind w:left="0" w:leftChars="0" w:right="0" w:rightChars="0" w:firstLine="480" w:firstLineChars="300"/>
                    <w:rPr>
                      <w:rFonts w:hint="default" w:ascii="Segoe UI" w:hAnsi="Segoe UI"/>
                      <w:sz w:val="16"/>
                      <w:szCs w:val="16"/>
                      <w:highlight w:val="none"/>
                      <w:lang w:val="en-US"/>
                    </w:rPr>
                  </w:pPr>
                  <w:r>
                    <w:rPr>
                      <w:rFonts w:hint="default" w:ascii="Segoe UI" w:hAnsi="Segoe UI"/>
                      <w:sz w:val="16"/>
                      <w:szCs w:val="16"/>
                      <w:highlight w:val="none"/>
                      <w:lang w:val="en-US"/>
                    </w:rPr>
                    <w:t>1,2-</w:t>
                  </w:r>
                </w:p>
                <w:p w14:paraId="7ED99BF3">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Benzenedicarboxyli</w:t>
                  </w:r>
                </w:p>
                <w:p w14:paraId="53E71314">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c acid, diethyl ester</w:t>
                  </w:r>
                </w:p>
              </w:tc>
              <w:tc>
                <w:tcPr>
                  <w:tcW w:w="2580" w:type="dxa"/>
                  <w:vAlign w:val="top"/>
                </w:tcPr>
                <w:p w14:paraId="47AFE3C9">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USA. Table Z-1-A Limits for Air </w:t>
                  </w:r>
                </w:p>
                <w:p w14:paraId="44046A62">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Contaminants (1989 vacated values)</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sz w:val="16"/>
                      <w:szCs w:val="16"/>
                      <w:highlight w:val="none"/>
                      <w:lang w:val="en-US"/>
                    </w:rPr>
                    <w:t>8-hour time weighted average</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sz w:val="16"/>
                      <w:szCs w:val="16"/>
                      <w:highlight w:val="none"/>
                      <w:lang w:val="en-US"/>
                    </w:rPr>
                    <w:t>5 mg/m3</w:t>
                  </w:r>
                </w:p>
              </w:tc>
            </w:tr>
            <w:tr w14:paraId="78A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18D69845">
                  <w:pPr>
                    <w:ind w:firstLine="560" w:firstLineChars="350"/>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1,2-</w:t>
                  </w:r>
                </w:p>
                <w:p w14:paraId="7E660E90">
                  <w:pPr>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Benzenedicarboxyli</w:t>
                  </w:r>
                </w:p>
                <w:p w14:paraId="3B6787D4">
                  <w:pPr>
                    <w:jc w:val="both"/>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c acid, diethyl ester</w:t>
                  </w:r>
                </w:p>
              </w:tc>
              <w:tc>
                <w:tcPr>
                  <w:tcW w:w="2580" w:type="dxa"/>
                </w:tcPr>
                <w:p w14:paraId="59284C2C">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 xml:space="preserve">California permissible exposure </w:t>
                  </w:r>
                </w:p>
                <w:p w14:paraId="6B198091">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limits for chemical contaminants</w:t>
                  </w:r>
                </w:p>
                <w:p w14:paraId="3CB55B6B">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(Title 8, Article 107)</w:t>
                  </w:r>
                </w:p>
              </w:tc>
              <w:tc>
                <w:tcPr>
                  <w:tcW w:w="2574" w:type="dxa"/>
                </w:tcPr>
                <w:p w14:paraId="4663EA39">
                  <w:pPr>
                    <w:jc w:val="center"/>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Permissible exposure limit</w:t>
                  </w:r>
                </w:p>
              </w:tc>
              <w:tc>
                <w:tcPr>
                  <w:tcW w:w="2672" w:type="dxa"/>
                </w:tcPr>
                <w:p w14:paraId="06E1EDD7">
                  <w:pPr>
                    <w:jc w:val="center"/>
                    <w:rPr>
                      <w:rFonts w:ascii="Segoe UI" w:hAnsi="Segoe UI" w:eastAsia="Arial MT" w:cs="Segoe UI"/>
                      <w:sz w:val="16"/>
                      <w:szCs w:val="16"/>
                      <w:highlight w:val="none"/>
                      <w:lang w:val="en-US" w:eastAsia="en-US" w:bidi="ar-SA"/>
                    </w:rPr>
                  </w:pPr>
                  <w:r>
                    <w:rPr>
                      <w:rFonts w:hint="default" w:ascii="Segoe UI" w:hAnsi="Segoe UI" w:eastAsia="Arial MT"/>
                      <w:sz w:val="16"/>
                      <w:szCs w:val="16"/>
                      <w:highlight w:val="none"/>
                      <w:lang w:val="en-US" w:eastAsia="en-US"/>
                    </w:rPr>
                    <w:t>5 mg/m3</w:t>
                  </w:r>
                </w:p>
              </w:tc>
            </w:tr>
            <w:tr w14:paraId="3D2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567F0DFC">
                  <w:pPr>
                    <w:jc w:val="both"/>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Cyclohexene, 1-methyl-4-(1-</w:t>
                  </w:r>
                </w:p>
                <w:p w14:paraId="74197098">
                  <w:pPr>
                    <w:jc w:val="both"/>
                    <w:rPr>
                      <w:rFonts w:hint="default" w:ascii="Segoe UI" w:hAnsi="Segoe UI" w:eastAsia="Arial MT"/>
                      <w:sz w:val="16"/>
                      <w:szCs w:val="16"/>
                      <w:highlight w:val="none"/>
                      <w:lang w:val="pt-BR" w:eastAsia="en-US"/>
                    </w:rPr>
                  </w:pPr>
                  <w:r>
                    <w:rPr>
                      <w:rFonts w:hint="default" w:ascii="Segoe UI" w:hAnsi="Segoe UI" w:eastAsia="Arial MT"/>
                      <w:sz w:val="16"/>
                      <w:szCs w:val="16"/>
                      <w:highlight w:val="none"/>
                      <w:lang w:val="en-US" w:eastAsia="en-US"/>
                    </w:rPr>
                    <w:t>methylethenyl)-,</w:t>
                  </w:r>
                  <w:r>
                    <w:rPr>
                      <w:rFonts w:hint="default" w:ascii="Segoe UI" w:hAnsi="Segoe UI"/>
                      <w:sz w:val="16"/>
                      <w:szCs w:val="16"/>
                      <w:highlight w:val="none"/>
                      <w:lang w:val="pt-BR" w:eastAsia="en-US"/>
                    </w:rPr>
                    <w:t>(4R)-</w:t>
                  </w:r>
                </w:p>
              </w:tc>
              <w:tc>
                <w:tcPr>
                  <w:tcW w:w="2580" w:type="dxa"/>
                </w:tcPr>
                <w:p w14:paraId="1BB37B78">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 xml:space="preserve">USA. Workplace Environmental </w:t>
                  </w:r>
                </w:p>
                <w:p w14:paraId="7D54F0EA">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Exposure Levels (WEEL)</w:t>
                  </w:r>
                </w:p>
              </w:tc>
              <w:tc>
                <w:tcPr>
                  <w:tcW w:w="2574" w:type="dxa"/>
                </w:tcPr>
                <w:p w14:paraId="4D163C8D">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8-hr TWA</w:t>
                  </w:r>
                </w:p>
              </w:tc>
              <w:tc>
                <w:tcPr>
                  <w:tcW w:w="2672" w:type="dxa"/>
                </w:tcPr>
                <w:p w14:paraId="534715B6">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30 ppm</w:t>
                  </w:r>
                </w:p>
              </w:tc>
            </w:tr>
            <w:tr w14:paraId="2C48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1804A024">
                  <w:pPr>
                    <w:jc w:val="both"/>
                    <w:rPr>
                      <w:rFonts w:hint="default" w:ascii="Segoe UI" w:hAnsi="Segoe UI"/>
                      <w:sz w:val="16"/>
                      <w:szCs w:val="16"/>
                      <w:highlight w:val="none"/>
                      <w:lang w:val="pt-BR" w:eastAsia="en-US"/>
                    </w:rPr>
                  </w:pPr>
                  <w:r>
                    <w:rPr>
                      <w:rFonts w:hint="default" w:ascii="Segoe UI" w:hAnsi="Segoe UI"/>
                      <w:sz w:val="16"/>
                      <w:szCs w:val="16"/>
                      <w:highlight w:val="none"/>
                      <w:lang w:val="pt-BR" w:eastAsia="en-US"/>
                    </w:rPr>
                    <w:t>2,6-Octadienal, 3,7-</w:t>
                  </w:r>
                </w:p>
                <w:p w14:paraId="1F905847">
                  <w:pPr>
                    <w:jc w:val="both"/>
                    <w:rPr>
                      <w:rFonts w:hint="default" w:ascii="Segoe UI" w:hAnsi="Segoe UI"/>
                      <w:sz w:val="16"/>
                      <w:szCs w:val="16"/>
                      <w:highlight w:val="none"/>
                      <w:lang w:val="pt-BR" w:eastAsia="en-US"/>
                    </w:rPr>
                  </w:pPr>
                  <w:r>
                    <w:rPr>
                      <w:rFonts w:hint="default" w:ascii="Segoe UI" w:hAnsi="Segoe UI"/>
                      <w:sz w:val="16"/>
                      <w:szCs w:val="16"/>
                      <w:highlight w:val="none"/>
                      <w:lang w:val="pt-BR" w:eastAsia="en-US"/>
                    </w:rPr>
                    <w:t>Dimethyl-</w:t>
                  </w:r>
                </w:p>
              </w:tc>
              <w:tc>
                <w:tcPr>
                  <w:tcW w:w="2580" w:type="dxa"/>
                </w:tcPr>
                <w:p w14:paraId="46144AC8">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 xml:space="preserve">USA. ACGIH Threshold Limit </w:t>
                  </w:r>
                </w:p>
                <w:p w14:paraId="7F784D4C">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Values (TLV)</w:t>
                  </w:r>
                </w:p>
              </w:tc>
              <w:tc>
                <w:tcPr>
                  <w:tcW w:w="2574" w:type="dxa"/>
                </w:tcPr>
                <w:p w14:paraId="0F19154D">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8-hour, time-weighted average</w:t>
                  </w:r>
                </w:p>
              </w:tc>
              <w:tc>
                <w:tcPr>
                  <w:tcW w:w="2672" w:type="dxa"/>
                </w:tcPr>
                <w:p w14:paraId="0D921C04">
                  <w:pPr>
                    <w:jc w:val="center"/>
                    <w:rPr>
                      <w:rFonts w:hint="default" w:ascii="Segoe UI" w:hAnsi="Segoe UI" w:eastAsia="Arial MT"/>
                      <w:sz w:val="16"/>
                      <w:szCs w:val="16"/>
                      <w:highlight w:val="none"/>
                      <w:lang w:val="en-US" w:eastAsia="en-US"/>
                    </w:rPr>
                  </w:pPr>
                  <w:r>
                    <w:rPr>
                      <w:rFonts w:hint="default" w:ascii="Segoe UI" w:hAnsi="Segoe UI" w:eastAsia="Arial MT"/>
                      <w:sz w:val="16"/>
                      <w:szCs w:val="16"/>
                      <w:highlight w:val="none"/>
                      <w:lang w:val="en-US" w:eastAsia="en-US"/>
                    </w:rPr>
                    <w:t>5 ppm</w:t>
                  </w:r>
                </w:p>
              </w:tc>
            </w:tr>
          </w:tbl>
          <w:p w14:paraId="3DAE2E95">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highlight w:val="none"/>
              </w:rPr>
            </w:pPr>
            <w:r>
              <w:rPr>
                <w:rFonts w:ascii="Segoe UI" w:hAnsi="Segoe UI" w:cs="Segoe UI"/>
                <w:sz w:val="16"/>
                <w:szCs w:val="16"/>
                <w:highlight w:val="none"/>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highlight w:val="none"/>
                <w:lang w:val="en-US"/>
              </w:rPr>
            </w:pPr>
            <w:r>
              <w:rPr>
                <w:rFonts w:ascii="Segoe UI" w:hAnsi="Segoe UI" w:cs="Segoe UI"/>
                <w:sz w:val="16"/>
                <w:szCs w:val="16"/>
                <w:highlight w:val="none"/>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highlight w:val="none"/>
                <w:lang w:val="en-US"/>
              </w:rPr>
            </w:pPr>
          </w:p>
        </w:tc>
        <w:tc>
          <w:tcPr>
            <w:tcW w:w="8082" w:type="dxa"/>
            <w:shd w:val="clear" w:color="auto" w:fill="auto"/>
          </w:tcPr>
          <w:p w14:paraId="24636528">
            <w:pPr>
              <w:rPr>
                <w:rFonts w:ascii="Segoe UI" w:hAnsi="Segoe UI" w:cs="Segoe UI"/>
                <w:sz w:val="16"/>
                <w:szCs w:val="16"/>
                <w:highlight w:val="none"/>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highlight w:val="none"/>
                <w:lang w:val="en-US"/>
              </w:rPr>
            </w:pPr>
            <w:r>
              <w:rPr>
                <w:rFonts w:ascii="Segoe UI" w:hAnsi="Segoe UI" w:cs="Segoe UI"/>
                <w:b/>
                <w:bCs/>
                <w:sz w:val="16"/>
                <w:szCs w:val="16"/>
                <w:highlight w:val="none"/>
                <w:lang w:val="en-US"/>
              </w:rPr>
              <w:t>Safety Data</w:t>
            </w:r>
          </w:p>
        </w:tc>
        <w:tc>
          <w:tcPr>
            <w:tcW w:w="8082" w:type="dxa"/>
            <w:shd w:val="clear" w:color="auto" w:fill="auto"/>
          </w:tcPr>
          <w:p w14:paraId="430B9BB8">
            <w:pPr>
              <w:rPr>
                <w:rFonts w:ascii="Segoe UI" w:hAnsi="Segoe UI" w:cs="Segoe UI"/>
                <w:sz w:val="16"/>
                <w:szCs w:val="16"/>
                <w:highlight w:val="none"/>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174.20 °F (79.00 °C)</w:t>
            </w:r>
          </w:p>
        </w:tc>
      </w:tr>
    </w:tbl>
    <w:p w14:paraId="0E4AF923">
      <w:pPr>
        <w:pStyle w:val="4"/>
        <w:spacing w:before="5"/>
        <w:rPr>
          <w:sz w:val="25"/>
          <w:highlight w:val="none"/>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r>
              <w:rPr>
                <w:rFonts w:hint="default" w:ascii="Segoe UI" w:hAnsi="Segoe UI"/>
                <w:sz w:val="16"/>
                <w:szCs w:val="16"/>
                <w:highlight w:val="none"/>
                <w:lang w:val="en-US"/>
              </w:rPr>
              <w:t>Proper shipping name</w:t>
            </w:r>
          </w:p>
        </w:tc>
        <w:tc>
          <w:tcPr>
            <w:tcW w:w="8082" w:type="dxa"/>
            <w:shd w:val="clear" w:color="auto" w:fill="auto"/>
          </w:tcPr>
          <w:p w14:paraId="745496BC">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xml:space="preserve">: </w:t>
            </w:r>
            <w:r>
              <w:rPr>
                <w:rFonts w:hint="default" w:ascii="Segoe UI" w:hAnsi="Segoe UI"/>
                <w:sz w:val="16"/>
                <w:szCs w:val="16"/>
                <w:highlight w:val="none"/>
                <w:lang w:val="pt-BR"/>
              </w:rPr>
              <w:t>Combustible liquid, n.o.s. (DIPENTENE)</w:t>
            </w:r>
          </w:p>
        </w:tc>
      </w:tr>
      <w:tr w14:paraId="7F15DA56">
        <w:tblPrEx>
          <w:tblCellMar>
            <w:top w:w="57" w:type="dxa"/>
            <w:left w:w="70" w:type="dxa"/>
            <w:bottom w:w="57" w:type="dxa"/>
            <w:right w:w="70" w:type="dxa"/>
          </w:tblCellMar>
        </w:tblPrEx>
        <w:trPr>
          <w:trHeight w:val="98" w:hRule="atLeast"/>
        </w:trPr>
        <w:tc>
          <w:tcPr>
            <w:tcW w:w="2691" w:type="dxa"/>
            <w:shd w:val="clear" w:color="auto" w:fill="auto"/>
          </w:tcPr>
          <w:p w14:paraId="05E49A02">
            <w:pPr>
              <w:rPr>
                <w:rFonts w:hint="default" w:ascii="Segoe UI" w:hAnsi="Segoe UI"/>
                <w:sz w:val="16"/>
                <w:szCs w:val="16"/>
                <w:highlight w:val="none"/>
                <w:lang w:val="en-US"/>
              </w:rPr>
            </w:pPr>
            <w:r>
              <w:rPr>
                <w:rFonts w:hint="default" w:ascii="Segoe UI" w:hAnsi="Segoe UI"/>
                <w:sz w:val="16"/>
                <w:szCs w:val="16"/>
                <w:highlight w:val="none"/>
                <w:lang w:val="en-US"/>
              </w:rPr>
              <w:t>Labels</w:t>
            </w:r>
          </w:p>
        </w:tc>
        <w:tc>
          <w:tcPr>
            <w:tcW w:w="8082" w:type="dxa"/>
            <w:shd w:val="clear" w:color="auto" w:fill="auto"/>
          </w:tcPr>
          <w:p w14:paraId="72A58E22">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NONE</w:t>
            </w:r>
          </w:p>
        </w:tc>
      </w:tr>
      <w:tr w14:paraId="427C998C">
        <w:tblPrEx>
          <w:tblCellMar>
            <w:top w:w="57" w:type="dxa"/>
            <w:left w:w="70" w:type="dxa"/>
            <w:bottom w:w="57" w:type="dxa"/>
            <w:right w:w="70" w:type="dxa"/>
          </w:tblCellMar>
        </w:tblPrEx>
        <w:trPr>
          <w:trHeight w:val="98" w:hRule="atLeast"/>
        </w:trPr>
        <w:tc>
          <w:tcPr>
            <w:tcW w:w="2691" w:type="dxa"/>
            <w:shd w:val="clear" w:color="auto" w:fill="auto"/>
          </w:tcPr>
          <w:p w14:paraId="2B2164DE">
            <w:pPr>
              <w:rPr>
                <w:rFonts w:hint="default" w:ascii="Segoe UI" w:hAnsi="Segoe UI"/>
                <w:sz w:val="16"/>
                <w:szCs w:val="16"/>
                <w:highlight w:val="none"/>
                <w:lang w:val="pt-BR"/>
              </w:rPr>
            </w:pPr>
            <w:r>
              <w:rPr>
                <w:rFonts w:hint="default" w:ascii="Segoe UI" w:hAnsi="Segoe UI"/>
                <w:sz w:val="16"/>
                <w:szCs w:val="16"/>
                <w:highlight w:val="none"/>
                <w:lang w:val="pt-BR"/>
              </w:rPr>
              <w:t>UN mumber</w:t>
            </w:r>
          </w:p>
        </w:tc>
        <w:tc>
          <w:tcPr>
            <w:tcW w:w="8082" w:type="dxa"/>
            <w:shd w:val="clear" w:color="auto" w:fill="auto"/>
          </w:tcPr>
          <w:p w14:paraId="28695E71">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1993</w:t>
            </w:r>
          </w:p>
        </w:tc>
      </w:tr>
      <w:tr w14:paraId="530E00EC">
        <w:tblPrEx>
          <w:tblCellMar>
            <w:top w:w="57" w:type="dxa"/>
            <w:left w:w="70" w:type="dxa"/>
            <w:bottom w:w="57" w:type="dxa"/>
            <w:right w:w="70" w:type="dxa"/>
          </w:tblCellMar>
        </w:tblPrEx>
        <w:trPr>
          <w:trHeight w:val="98" w:hRule="atLeast"/>
        </w:trPr>
        <w:tc>
          <w:tcPr>
            <w:tcW w:w="2691" w:type="dxa"/>
            <w:shd w:val="clear" w:color="auto" w:fill="auto"/>
          </w:tcPr>
          <w:p w14:paraId="2F54C272">
            <w:pPr>
              <w:rPr>
                <w:rFonts w:hint="default" w:ascii="Segoe UI" w:hAnsi="Segoe UI"/>
                <w:sz w:val="16"/>
                <w:szCs w:val="16"/>
                <w:highlight w:val="none"/>
                <w:lang w:val="pt-BR"/>
              </w:rPr>
            </w:pPr>
            <w:r>
              <w:rPr>
                <w:rFonts w:hint="default" w:ascii="Segoe UI" w:hAnsi="Segoe UI"/>
                <w:sz w:val="16"/>
                <w:szCs w:val="16"/>
                <w:highlight w:val="none"/>
                <w:lang w:val="pt-BR"/>
              </w:rPr>
              <w:t>CLASSE</w:t>
            </w:r>
          </w:p>
        </w:tc>
        <w:tc>
          <w:tcPr>
            <w:tcW w:w="8082" w:type="dxa"/>
            <w:shd w:val="clear" w:color="auto" w:fill="auto"/>
          </w:tcPr>
          <w:p w14:paraId="6CB0601A">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CBL</w:t>
            </w:r>
          </w:p>
        </w:tc>
      </w:tr>
      <w:tr w14:paraId="5CE4200E">
        <w:tblPrEx>
          <w:tblCellMar>
            <w:top w:w="57" w:type="dxa"/>
            <w:left w:w="70" w:type="dxa"/>
            <w:bottom w:w="57" w:type="dxa"/>
            <w:right w:w="70" w:type="dxa"/>
          </w:tblCellMar>
        </w:tblPrEx>
        <w:trPr>
          <w:trHeight w:val="98" w:hRule="atLeast"/>
        </w:trPr>
        <w:tc>
          <w:tcPr>
            <w:tcW w:w="2691" w:type="dxa"/>
            <w:shd w:val="clear" w:color="auto" w:fill="auto"/>
          </w:tcPr>
          <w:p w14:paraId="1BF91BB4">
            <w:pPr>
              <w:rPr>
                <w:rFonts w:hint="default" w:ascii="Segoe UI" w:hAnsi="Segoe UI"/>
                <w:sz w:val="16"/>
                <w:szCs w:val="16"/>
                <w:highlight w:val="none"/>
                <w:lang w:val="pt-BR"/>
              </w:rPr>
            </w:pPr>
            <w:r>
              <w:rPr>
                <w:rFonts w:hint="default" w:ascii="Segoe UI" w:hAnsi="Segoe UI"/>
                <w:sz w:val="16"/>
                <w:szCs w:val="16"/>
                <w:highlight w:val="none"/>
                <w:lang w:val="pt-BR"/>
              </w:rPr>
              <w:t>Packing group</w:t>
            </w:r>
          </w:p>
        </w:tc>
        <w:tc>
          <w:tcPr>
            <w:tcW w:w="8082" w:type="dxa"/>
            <w:shd w:val="clear" w:color="auto" w:fill="auto"/>
          </w:tcPr>
          <w:p w14:paraId="7FB71628">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III</w:t>
            </w:r>
          </w:p>
        </w:tc>
      </w:tr>
      <w:tr w14:paraId="0B3A697D">
        <w:tblPrEx>
          <w:tblCellMar>
            <w:top w:w="57" w:type="dxa"/>
            <w:left w:w="70" w:type="dxa"/>
            <w:bottom w:w="57" w:type="dxa"/>
            <w:right w:w="70" w:type="dxa"/>
          </w:tblCellMar>
        </w:tblPrEx>
        <w:trPr>
          <w:trHeight w:val="98" w:hRule="atLeast"/>
        </w:trPr>
        <w:tc>
          <w:tcPr>
            <w:tcW w:w="2691" w:type="dxa"/>
            <w:shd w:val="clear" w:color="auto" w:fill="auto"/>
          </w:tcPr>
          <w:p w14:paraId="4400EBDF">
            <w:pPr>
              <w:rPr>
                <w:rFonts w:hint="default" w:ascii="Segoe UI" w:hAnsi="Segoe UI"/>
                <w:sz w:val="16"/>
                <w:szCs w:val="16"/>
                <w:highlight w:val="none"/>
                <w:lang w:val="pt-BR"/>
              </w:rPr>
            </w:pPr>
            <w:r>
              <w:rPr>
                <w:rFonts w:hint="default" w:ascii="Segoe UI" w:hAnsi="Segoe UI"/>
                <w:sz w:val="16"/>
                <w:szCs w:val="16"/>
                <w:highlight w:val="none"/>
                <w:lang w:val="pt-BR"/>
              </w:rPr>
              <w:t xml:space="preserve">Emergency Response </w:t>
            </w:r>
          </w:p>
          <w:p w14:paraId="6047046B">
            <w:pPr>
              <w:rPr>
                <w:rFonts w:hint="default" w:ascii="Segoe UI" w:hAnsi="Segoe UI"/>
                <w:sz w:val="16"/>
                <w:szCs w:val="16"/>
                <w:highlight w:val="none"/>
                <w:lang w:val="pt-BR"/>
              </w:rPr>
            </w:pPr>
            <w:r>
              <w:rPr>
                <w:rFonts w:hint="default" w:ascii="Segoe UI" w:hAnsi="Segoe UI"/>
                <w:sz w:val="16"/>
                <w:szCs w:val="16"/>
                <w:highlight w:val="none"/>
                <w:lang w:val="pt-BR"/>
              </w:rPr>
              <w:t>Guidebook Number</w:t>
            </w:r>
          </w:p>
        </w:tc>
        <w:tc>
          <w:tcPr>
            <w:tcW w:w="8082" w:type="dxa"/>
            <w:shd w:val="clear" w:color="auto" w:fill="auto"/>
          </w:tcPr>
          <w:p w14:paraId="3866E35B">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128</w:t>
            </w:r>
          </w:p>
        </w:tc>
      </w:tr>
      <w:tr w14:paraId="119BCB4F">
        <w:tblPrEx>
          <w:tblCellMar>
            <w:top w:w="57" w:type="dxa"/>
            <w:left w:w="70" w:type="dxa"/>
            <w:bottom w:w="57" w:type="dxa"/>
            <w:right w:w="70" w:type="dxa"/>
          </w:tblCellMar>
        </w:tblPrEx>
        <w:trPr>
          <w:trHeight w:val="98" w:hRule="atLeast"/>
        </w:trPr>
        <w:tc>
          <w:tcPr>
            <w:tcW w:w="2691" w:type="dxa"/>
            <w:shd w:val="clear" w:color="auto" w:fill="auto"/>
          </w:tcPr>
          <w:p w14:paraId="118EC944">
            <w:pPr>
              <w:rPr>
                <w:rFonts w:hint="default" w:ascii="Segoe UI" w:hAnsi="Segoe UI"/>
                <w:sz w:val="16"/>
                <w:szCs w:val="16"/>
                <w:highlight w:val="none"/>
                <w:lang w:val="pt-BR"/>
              </w:rPr>
            </w:pPr>
          </w:p>
        </w:tc>
        <w:tc>
          <w:tcPr>
            <w:tcW w:w="8082" w:type="dxa"/>
            <w:shd w:val="clear" w:color="auto" w:fill="auto"/>
          </w:tcPr>
          <w:p w14:paraId="151D3826">
            <w:pPr>
              <w:rPr>
                <w:rFonts w:hint="default" w:ascii="Segoe UI" w:hAnsi="Segoe UI" w:cs="Segoe UI"/>
                <w:sz w:val="16"/>
                <w:szCs w:val="16"/>
                <w:highlight w:val="none"/>
                <w:lang w:val="pt-BR"/>
              </w:rPr>
            </w:pPr>
          </w:p>
        </w:tc>
      </w:tr>
      <w:tr w14:paraId="4824E247">
        <w:tblPrEx>
          <w:tblCellMar>
            <w:top w:w="57" w:type="dxa"/>
            <w:left w:w="70" w:type="dxa"/>
            <w:bottom w:w="57" w:type="dxa"/>
            <w:right w:w="70" w:type="dxa"/>
          </w:tblCellMar>
        </w:tblPrEx>
        <w:trPr>
          <w:trHeight w:val="98" w:hRule="atLeast"/>
        </w:trPr>
        <w:tc>
          <w:tcPr>
            <w:tcW w:w="2691" w:type="dxa"/>
            <w:shd w:val="clear" w:color="auto" w:fill="auto"/>
          </w:tcPr>
          <w:p w14:paraId="10DEA3CA">
            <w:pPr>
              <w:rPr>
                <w:rFonts w:hint="default" w:ascii="Segoe UI" w:hAnsi="Segoe UI"/>
                <w:sz w:val="16"/>
                <w:szCs w:val="16"/>
                <w:highlight w:val="none"/>
                <w:lang w:val="pt-BR"/>
              </w:rPr>
            </w:pPr>
            <w:r>
              <w:rPr>
                <w:rFonts w:hint="default" w:ascii="Segoe UI" w:hAnsi="Segoe UI"/>
                <w:b/>
                <w:bCs/>
                <w:sz w:val="16"/>
                <w:szCs w:val="16"/>
                <w:highlight w:val="none"/>
                <w:lang w:val="pt-BR"/>
              </w:rPr>
              <w:t>DOT NON-BULK</w:t>
            </w:r>
          </w:p>
        </w:tc>
        <w:tc>
          <w:tcPr>
            <w:tcW w:w="8082" w:type="dxa"/>
            <w:shd w:val="clear" w:color="auto" w:fill="auto"/>
          </w:tcPr>
          <w:p w14:paraId="6AD36FE8">
            <w:pPr>
              <w:rPr>
                <w:rFonts w:hint="default" w:ascii="Segoe UI" w:hAnsi="Segoe UI" w:cs="Segoe UI"/>
                <w:sz w:val="16"/>
                <w:szCs w:val="16"/>
                <w:highlight w:val="none"/>
                <w:lang w:val="pt-BR"/>
              </w:rPr>
            </w:pPr>
            <w:r>
              <w:rPr>
                <w:rFonts w:hint="default" w:ascii="Segoe UI" w:hAnsi="Segoe UI"/>
                <w:sz w:val="16"/>
                <w:szCs w:val="16"/>
                <w:highlight w:val="none"/>
                <w:lang w:val="pt-BR"/>
              </w:rPr>
              <w:t>Not dangerous goods</w:t>
            </w:r>
          </w:p>
        </w:tc>
      </w:tr>
      <w:tr w14:paraId="72B732DC">
        <w:tblPrEx>
          <w:tblCellMar>
            <w:top w:w="57" w:type="dxa"/>
            <w:left w:w="70" w:type="dxa"/>
            <w:bottom w:w="57" w:type="dxa"/>
            <w:right w:w="70" w:type="dxa"/>
          </w:tblCellMar>
        </w:tblPrEx>
        <w:trPr>
          <w:trHeight w:val="98" w:hRule="atLeast"/>
        </w:trPr>
        <w:tc>
          <w:tcPr>
            <w:tcW w:w="2691" w:type="dxa"/>
            <w:shd w:val="clear" w:color="auto" w:fill="auto"/>
          </w:tcPr>
          <w:p w14:paraId="53BDDB9B">
            <w:pPr>
              <w:rPr>
                <w:rFonts w:hint="default" w:ascii="Segoe UI" w:hAnsi="Segoe UI"/>
                <w:sz w:val="16"/>
                <w:szCs w:val="16"/>
                <w:highlight w:val="none"/>
                <w:lang w:val="pt-BR"/>
              </w:rPr>
            </w:pPr>
          </w:p>
        </w:tc>
        <w:tc>
          <w:tcPr>
            <w:tcW w:w="8082" w:type="dxa"/>
            <w:shd w:val="clear" w:color="auto" w:fill="auto"/>
          </w:tcPr>
          <w:p w14:paraId="70F8CA55">
            <w:pPr>
              <w:rPr>
                <w:rFonts w:hint="default" w:ascii="Segoe UI" w:hAnsi="Segoe UI" w:cs="Segoe UI"/>
                <w:sz w:val="16"/>
                <w:szCs w:val="16"/>
                <w:highlight w:val="none"/>
                <w:lang w:val="pt-BR"/>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ascii="Segoe UI" w:hAnsi="Segoe UI" w:cs="Segoe UI"/>
                <w:sz w:val="16"/>
                <w:szCs w:val="16"/>
                <w:lang w:val="en-US"/>
              </w:rPr>
            </w:pPr>
            <w:r>
              <w:rPr>
                <w:rFonts w:hint="default" w:ascii="Segoe UI" w:hAnsi="Segoe UI"/>
                <w:sz w:val="16"/>
                <w:szCs w:val="16"/>
                <w:lang w:val="en-US"/>
              </w:rPr>
              <w:t>Above applies only to containers over 119 gallons or 450 liters. Not regulated if shipped in packages less than or equal to 119 gallons (450 liters).</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1E8BAAA9">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2934AD38">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4CA77F6E">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12DC1F65">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1E830C2B">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22606D27">
      <w:pPr>
        <w:spacing w:before="10" w:line="254" w:lineRule="auto"/>
        <w:ind w:right="34"/>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07/02/2025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663DB76F">
          <w:pPr>
            <w:spacing w:after="40"/>
            <w:rPr>
              <w:rFonts w:ascii="Segoe UI" w:hAnsi="Segoe UI" w:cs="Segoe UI" w:eastAsiaTheme="minorEastAsia"/>
              <w:b/>
              <w:bCs/>
              <w:sz w:val="16"/>
              <w:szCs w:val="16"/>
              <w:highlight w:val="none"/>
              <w:u w:val="single"/>
              <w:lang w:val="en-US"/>
            </w:rPr>
          </w:pPr>
          <w:r>
            <w:rPr>
              <w:rFonts w:ascii="Segoe UI" w:hAnsi="Segoe UI" w:cs="Segoe UI"/>
              <w:sz w:val="16"/>
              <w:szCs w:val="16"/>
              <w:highlight w:val="none"/>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SCE823636 DIVEINE NOIR</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02/11/2025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172AAB"/>
    <w:rsid w:val="0D42716D"/>
    <w:rsid w:val="133F3B0E"/>
    <w:rsid w:val="155C106C"/>
    <w:rsid w:val="1FE17937"/>
    <w:rsid w:val="270D3939"/>
    <w:rsid w:val="28A80261"/>
    <w:rsid w:val="292A357B"/>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1777</Words>
  <Characters>10636</Characters>
  <TotalTime>23</TotalTime>
  <ScaleCrop>false</ScaleCrop>
  <LinksUpToDate>false</LinksUpToDate>
  <CharactersWithSpaces>12352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2025-02-11T12:20:26Z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