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5449D378">
            <w:pPr>
              <w:rPr>
                <w:rFonts w:hint="default" w:ascii="Segoe UI" w:hAnsi="Segoe UI" w:eastAsia="Times New Roman" w:cs="Times New Roman"/>
                <w:sz w:val="18"/>
                <w:szCs w:val="18"/>
              </w:rPr>
            </w:pPr>
            <w:r>
              <w:rPr>
                <w:rFonts w:hint="default" w:ascii="Segoe UI" w:hAnsi="Segoe UI" w:eastAsia="Times New Roman"/>
                <w:sz w:val="18"/>
                <w:szCs w:val="18"/>
              </w:rPr>
              <w:t>APPLE SPICE CANDLE</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 xml:space="preserve">SCE822895 </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56CB61D7">
            <w:pPr>
              <w:rPr>
                <w:rFonts w:hint="default" w:ascii="Segoe UI" w:hAnsi="Segoe UI"/>
                <w:sz w:val="16"/>
                <w:szCs w:val="16"/>
                <w:lang w:val="en-US"/>
              </w:rPr>
            </w:pPr>
            <w:r>
              <w:rPr>
                <w:rFonts w:hint="default" w:ascii="Segoe UI" w:hAnsi="Segoe UI"/>
                <w:sz w:val="16"/>
                <w:szCs w:val="16"/>
                <w:lang w:val="en-US"/>
              </w:rPr>
              <w:t>Flammable liquids, Category 3</w:t>
            </w:r>
          </w:p>
          <w:p w14:paraId="05C33EF0">
            <w:pPr>
              <w:rPr>
                <w:rFonts w:hint="default" w:ascii="Segoe UI" w:hAnsi="Segoe UI"/>
                <w:sz w:val="16"/>
                <w:szCs w:val="16"/>
                <w:lang w:val="en-US"/>
              </w:rPr>
            </w:pPr>
            <w:r>
              <w:rPr>
                <w:rFonts w:hint="default" w:ascii="Segoe UI" w:hAnsi="Segoe UI"/>
                <w:sz w:val="16"/>
                <w:szCs w:val="16"/>
                <w:lang w:val="en-US"/>
              </w:rPr>
              <w:t>Acute toxicity, Category 4, Inhalation</w:t>
            </w:r>
          </w:p>
          <w:p w14:paraId="7824BFFC">
            <w:pPr>
              <w:rPr>
                <w:rFonts w:hint="default" w:ascii="Segoe UI" w:hAnsi="Segoe UI"/>
                <w:sz w:val="16"/>
                <w:szCs w:val="16"/>
                <w:lang w:val="en-US"/>
              </w:rPr>
            </w:pPr>
            <w:r>
              <w:rPr>
                <w:rFonts w:hint="default" w:ascii="Segoe UI" w:hAnsi="Segoe UI"/>
                <w:sz w:val="16"/>
                <w:szCs w:val="16"/>
                <w:lang w:val="en-US"/>
              </w:rPr>
              <w:t>Skin irritation, Category 2</w:t>
            </w:r>
          </w:p>
          <w:p w14:paraId="43577838">
            <w:pPr>
              <w:rPr>
                <w:rFonts w:hint="default" w:ascii="Segoe UI" w:hAnsi="Segoe UI"/>
                <w:sz w:val="16"/>
                <w:szCs w:val="16"/>
                <w:lang w:val="en-US"/>
              </w:rPr>
            </w:pPr>
            <w:r>
              <w:rPr>
                <w:rFonts w:hint="default" w:ascii="Segoe UI" w:hAnsi="Segoe UI"/>
                <w:sz w:val="16"/>
                <w:szCs w:val="16"/>
                <w:lang w:val="en-US"/>
              </w:rPr>
              <w:t>Eye irritation, Category 2A</w:t>
            </w:r>
          </w:p>
          <w:p w14:paraId="51F417AB">
            <w:pPr>
              <w:rPr>
                <w:rFonts w:hint="default" w:ascii="Segoe UI" w:hAnsi="Segoe UI"/>
                <w:sz w:val="16"/>
                <w:szCs w:val="16"/>
                <w:lang w:val="en-US"/>
              </w:rPr>
            </w:pPr>
            <w:r>
              <w:rPr>
                <w:rFonts w:hint="default" w:ascii="Segoe UI" w:hAnsi="Segoe UI"/>
                <w:sz w:val="16"/>
                <w:szCs w:val="16"/>
                <w:lang w:val="en-US"/>
              </w:rPr>
              <w:t>Skin sensitisation, Category 1</w:t>
            </w:r>
          </w:p>
          <w:p w14:paraId="163AE2A3">
            <w:pPr>
              <w:rPr>
                <w:rFonts w:hint="default" w:ascii="Segoe UI" w:hAnsi="Segoe UI"/>
                <w:sz w:val="16"/>
                <w:szCs w:val="16"/>
                <w:lang w:val="en-US"/>
              </w:rPr>
            </w:pPr>
            <w:r>
              <w:rPr>
                <w:rFonts w:hint="default" w:ascii="Segoe UI" w:hAnsi="Segoe UI"/>
                <w:sz w:val="16"/>
                <w:szCs w:val="16"/>
                <w:lang w:val="en-US"/>
              </w:rPr>
              <w:t>Specific target organ toxicity - repeated exposure, Category 2, Oral</w:t>
            </w:r>
          </w:p>
          <w:p w14:paraId="4270896D">
            <w:pPr>
              <w:rPr>
                <w:rFonts w:ascii="Segoe UI" w:hAnsi="Segoe UI" w:cs="Segoe UI"/>
                <w:sz w:val="16"/>
                <w:szCs w:val="16"/>
                <w:lang w:val="en-US"/>
              </w:rPr>
            </w:pPr>
            <w:r>
              <w:rPr>
                <w:rFonts w:hint="default" w:ascii="Segoe UI" w:hAnsi="Segoe UI"/>
                <w:sz w:val="16"/>
                <w:szCs w:val="16"/>
                <w:lang w:val="en-US"/>
              </w:rPr>
              <w:t>Aspiration hazard,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hint="default" w:ascii="Segoe UI" w:hAnsi="Segoe UI"/>
                <w:sz w:val="16"/>
                <w:szCs w:val="16"/>
                <w:lang w:val="en-US"/>
              </w:rPr>
            </w:pPr>
            <w:r>
              <w:rPr>
                <w:rFonts w:hint="default" w:ascii="Segoe UI" w:hAnsi="Segoe UI"/>
                <w:sz w:val="16"/>
                <w:szCs w:val="16"/>
                <w:lang w:val="en-US"/>
              </w:rPr>
              <w:t>Symbol(s):</w:t>
            </w:r>
          </w:p>
        </w:tc>
        <w:tc>
          <w:tcPr>
            <w:tcW w:w="8082" w:type="dxa"/>
            <w:shd w:val="clear" w:color="auto" w:fill="auto"/>
          </w:tcPr>
          <w:p w14:paraId="48DB736D">
            <w:pPr>
              <w:rPr>
                <w:rFonts w:hint="default" w:ascii="Segoe UI" w:hAnsi="Segoe UI"/>
                <w:sz w:val="16"/>
                <w:szCs w:val="16"/>
                <w:lang w:val="en-US"/>
              </w:rPr>
            </w:pPr>
            <w:r>
              <w:rPr>
                <w:rFonts w:hint="default" w:ascii="Segoe UI" w:hAnsi="Segoe UI"/>
                <w:sz w:val="16"/>
                <w:szCs w:val="16"/>
                <w:lang w:val="en-US"/>
              </w:rPr>
              <w:drawing>
                <wp:inline distT="0" distB="0" distL="114300" distR="114300">
                  <wp:extent cx="720090" cy="720090"/>
                  <wp:effectExtent l="0" t="0" r="3810" b="3810"/>
                  <wp:docPr id="3" name="Imagem 1"/>
                  <wp:cNvGraphicFramePr/>
                  <a:graphic xmlns:a="http://schemas.openxmlformats.org/drawingml/2006/main">
                    <a:graphicData uri="http://schemas.openxmlformats.org/drawingml/2006/picture">
                      <pic:pic xmlns:pic="http://schemas.openxmlformats.org/drawingml/2006/picture">
                        <pic:nvPicPr>
                          <pic:cNvPr id="3" name="Imagem 1"/>
                          <pic:cNvPicPr/>
                        </pic:nvPicPr>
                        <pic:blipFill>
                          <a:blip r:embed="rId8"/>
                          <a:stretch>
                            <a:fillRect/>
                          </a:stretch>
                        </pic:blipFill>
                        <pic:spPr>
                          <a:xfrm>
                            <a:off x="0" y="0"/>
                            <a:ext cx="720090" cy="720090"/>
                          </a:xfrm>
                          <a:prstGeom prst="rect">
                            <a:avLst/>
                          </a:prstGeom>
                          <a:noFill/>
                          <a:ln>
                            <a:noFill/>
                          </a:ln>
                        </pic:spPr>
                      </pic:pic>
                    </a:graphicData>
                  </a:graphic>
                </wp:inline>
              </w:drawing>
            </w:r>
            <w:r>
              <w:rPr>
                <w:rFonts w:hint="default" w:ascii="Segoe UI" w:hAnsi="Segoe UI"/>
                <w:sz w:val="16"/>
                <w:szCs w:val="16"/>
                <w:lang w:val="en-US"/>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hint="default" w:ascii="Segoe UI" w:hAnsi="Segoe UI"/>
                <w:sz w:val="16"/>
                <w:szCs w:val="16"/>
                <w:lang w:val="en-US"/>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hint="default" w:ascii="Segoe UI" w:hAnsi="Segoe UI"/>
                <w:sz w:val="16"/>
                <w:szCs w:val="16"/>
                <w:lang w:val="en-US"/>
              </w:rPr>
            </w:pPr>
            <w:r>
              <w:rPr>
                <w:rFonts w:hint="default" w:ascii="Segoe UI" w:hAnsi="Segoe UI"/>
                <w:sz w:val="16"/>
                <w:szCs w:val="16"/>
                <w:lang w:val="en-US"/>
              </w:rPr>
              <w:t>Signal word:</w:t>
            </w:r>
          </w:p>
        </w:tc>
        <w:tc>
          <w:tcPr>
            <w:tcW w:w="8082" w:type="dxa"/>
            <w:shd w:val="clear" w:color="auto" w:fill="auto"/>
          </w:tcPr>
          <w:p w14:paraId="75BCA455">
            <w:pPr>
              <w:rPr>
                <w:rFonts w:hint="default" w:ascii="Segoe UI" w:hAnsi="Segoe UI"/>
                <w:sz w:val="16"/>
                <w:szCs w:val="16"/>
                <w:lang w:val="pt-BR"/>
              </w:rPr>
            </w:pPr>
            <w:r>
              <w:rPr>
                <w:rFonts w:hint="default" w:ascii="Segoe UI" w:hAnsi="Segoe UI"/>
                <w:sz w:val="16"/>
                <w:szCs w:val="16"/>
                <w:lang w:val="pt-BR"/>
              </w:rPr>
              <w:t>Danger</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hint="default" w:ascii="Segoe UI" w:hAnsi="Segoe UI"/>
                <w:sz w:val="16"/>
                <w:szCs w:val="16"/>
                <w:lang w:val="en-US"/>
              </w:rPr>
            </w:pPr>
            <w:r>
              <w:rPr>
                <w:rFonts w:hint="default" w:ascii="Segoe UI" w:hAnsi="Segoe UI"/>
                <w:sz w:val="16"/>
                <w:szCs w:val="16"/>
                <w:lang w:val="en-US"/>
              </w:rPr>
              <w:t>Hazard statements:</w:t>
            </w:r>
          </w:p>
        </w:tc>
        <w:tc>
          <w:tcPr>
            <w:tcW w:w="8082" w:type="dxa"/>
            <w:shd w:val="clear" w:color="auto" w:fill="auto"/>
          </w:tcPr>
          <w:p w14:paraId="56A8E487">
            <w:pPr>
              <w:rPr>
                <w:rFonts w:hint="default" w:ascii="Segoe UI" w:hAnsi="Segoe UI"/>
                <w:sz w:val="16"/>
                <w:szCs w:val="16"/>
                <w:lang w:val="en-US"/>
              </w:rPr>
            </w:pPr>
            <w:r>
              <w:rPr>
                <w:rFonts w:hint="default" w:ascii="Segoe UI" w:hAnsi="Segoe UI"/>
                <w:sz w:val="16"/>
                <w:szCs w:val="16"/>
                <w:lang w:val="en-US"/>
              </w:rPr>
              <w:t>H226: Flammable liquid and vapour.</w:t>
            </w:r>
          </w:p>
          <w:p w14:paraId="5CEA6303">
            <w:pPr>
              <w:rPr>
                <w:rFonts w:hint="default" w:ascii="Segoe UI" w:hAnsi="Segoe UI"/>
                <w:sz w:val="16"/>
                <w:szCs w:val="16"/>
                <w:lang w:val="en-US"/>
              </w:rPr>
            </w:pPr>
            <w:r>
              <w:rPr>
                <w:rFonts w:hint="default" w:ascii="Segoe UI" w:hAnsi="Segoe UI"/>
                <w:sz w:val="16"/>
                <w:szCs w:val="16"/>
                <w:lang w:val="en-US" w:eastAsia="zh-CN"/>
              </w:rPr>
              <w:t>H304: May be fatal if swallowed and enters airways.</w:t>
            </w:r>
          </w:p>
          <w:p w14:paraId="716E7992">
            <w:pPr>
              <w:rPr>
                <w:rFonts w:hint="default" w:ascii="Segoe UI" w:hAnsi="Segoe UI"/>
                <w:sz w:val="16"/>
                <w:szCs w:val="16"/>
                <w:lang w:val="en-US"/>
              </w:rPr>
            </w:pPr>
            <w:r>
              <w:rPr>
                <w:rFonts w:hint="default" w:ascii="Segoe UI" w:hAnsi="Segoe UI"/>
                <w:sz w:val="16"/>
                <w:szCs w:val="16"/>
                <w:lang w:val="en-US"/>
              </w:rPr>
              <w:t>H315: Causes skin irritation.</w:t>
            </w:r>
          </w:p>
          <w:p w14:paraId="6F0DA381">
            <w:pPr>
              <w:rPr>
                <w:rFonts w:hint="default" w:ascii="Segoe UI" w:hAnsi="Segoe UI"/>
                <w:sz w:val="16"/>
                <w:szCs w:val="16"/>
                <w:lang w:val="en-US"/>
              </w:rPr>
            </w:pPr>
            <w:r>
              <w:rPr>
                <w:rFonts w:hint="default" w:ascii="Segoe UI" w:hAnsi="Segoe UI"/>
                <w:sz w:val="16"/>
                <w:szCs w:val="16"/>
                <w:lang w:val="en-US"/>
              </w:rPr>
              <w:t>H317: May cause an allergic skin reaction.</w:t>
            </w:r>
          </w:p>
          <w:p w14:paraId="2852E21B">
            <w:pPr>
              <w:rPr>
                <w:rFonts w:hint="default" w:ascii="Segoe UI" w:hAnsi="Segoe UI"/>
                <w:sz w:val="16"/>
                <w:szCs w:val="16"/>
                <w:lang w:val="en-US"/>
              </w:rPr>
            </w:pPr>
            <w:r>
              <w:rPr>
                <w:rFonts w:hint="default" w:ascii="Segoe UI" w:hAnsi="Segoe UI"/>
                <w:sz w:val="16"/>
                <w:szCs w:val="16"/>
                <w:lang w:val="en-US"/>
              </w:rPr>
              <w:t>H319: Causes serious eye irritation.</w:t>
            </w:r>
          </w:p>
          <w:p w14:paraId="63401B67">
            <w:pPr>
              <w:rPr>
                <w:rFonts w:hint="default" w:ascii="Segoe UI" w:hAnsi="Segoe UI"/>
                <w:sz w:val="16"/>
                <w:szCs w:val="16"/>
                <w:lang w:val="en-US"/>
              </w:rPr>
            </w:pPr>
            <w:r>
              <w:rPr>
                <w:rFonts w:hint="default" w:ascii="Segoe UI" w:hAnsi="Segoe UI"/>
                <w:sz w:val="16"/>
                <w:szCs w:val="16"/>
                <w:lang w:val="en-US"/>
              </w:rPr>
              <w:t>H332: Harmful if inhaled.</w:t>
            </w:r>
          </w:p>
          <w:p w14:paraId="7E93F9B2">
            <w:pPr>
              <w:rPr>
                <w:rFonts w:hint="default" w:ascii="Segoe UI" w:hAnsi="Segoe UI"/>
                <w:sz w:val="16"/>
                <w:szCs w:val="16"/>
                <w:lang w:val="pt-BR"/>
              </w:rPr>
            </w:pPr>
            <w:r>
              <w:rPr>
                <w:rFonts w:hint="default" w:ascii="Segoe UI" w:hAnsi="Segoe UI"/>
                <w:sz w:val="16"/>
                <w:szCs w:val="16"/>
                <w:lang w:val="en-US"/>
              </w:rPr>
              <w:t>H373: May cause damage to organs</w:t>
            </w:r>
            <w:r>
              <w:rPr>
                <w:rFonts w:hint="default" w:ascii="Segoe UI" w:hAnsi="Segoe UI"/>
                <w:sz w:val="16"/>
                <w:szCs w:val="16"/>
                <w:lang w:val="pt-BR"/>
              </w:rPr>
              <w:t>.</w:t>
            </w:r>
          </w:p>
          <w:p w14:paraId="0A0EE256">
            <w:pPr>
              <w:rPr>
                <w:rFonts w:hint="default" w:ascii="Segoe UI" w:hAnsi="Segoe UI"/>
                <w:sz w:val="16"/>
                <w:szCs w:val="16"/>
                <w:lang w:val="en-US"/>
              </w:rPr>
            </w:pPr>
            <w:r>
              <w:rPr>
                <w:rFonts w:hint="default" w:ascii="Segoe UI" w:hAnsi="Segoe UI"/>
                <w:sz w:val="16"/>
                <w:szCs w:val="16"/>
                <w:lang w:val="en-US"/>
              </w:rPr>
              <w:t>through prolonged or repeated exposure if swallowed.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0E73F219">
            <w:pPr>
              <w:rPr>
                <w:rFonts w:hint="default" w:ascii="Segoe UI" w:hAnsi="Segoe UI"/>
                <w:sz w:val="16"/>
                <w:szCs w:val="16"/>
                <w:highlight w:val="none"/>
                <w:lang w:val="en-US"/>
              </w:rPr>
            </w:pPr>
            <w:r>
              <w:rPr>
                <w:rFonts w:hint="default" w:ascii="Segoe UI" w:hAnsi="Segoe UI"/>
                <w:sz w:val="16"/>
                <w:szCs w:val="16"/>
                <w:highlight w:val="none"/>
                <w:lang w:val="en-US"/>
              </w:rPr>
              <w:t xml:space="preserve">P210: Keep away from heat/ sparks/ open flames/ hot surfaces. No </w:t>
            </w:r>
          </w:p>
          <w:p w14:paraId="303A0903">
            <w:pPr>
              <w:rPr>
                <w:rFonts w:hint="default" w:ascii="Segoe UI" w:hAnsi="Segoe UI"/>
                <w:sz w:val="16"/>
                <w:szCs w:val="16"/>
                <w:highlight w:val="none"/>
                <w:lang w:val="en-US"/>
              </w:rPr>
            </w:pPr>
            <w:r>
              <w:rPr>
                <w:rFonts w:hint="default" w:ascii="Segoe UI" w:hAnsi="Segoe UI"/>
                <w:sz w:val="16"/>
                <w:szCs w:val="16"/>
                <w:highlight w:val="none"/>
                <w:lang w:val="en-US"/>
              </w:rPr>
              <w:t>smoking.</w:t>
            </w:r>
          </w:p>
          <w:p w14:paraId="4A9036B5">
            <w:pPr>
              <w:rPr>
                <w:rFonts w:hint="default" w:ascii="Segoe UI" w:hAnsi="Segoe UI"/>
                <w:sz w:val="16"/>
                <w:szCs w:val="16"/>
                <w:highlight w:val="none"/>
                <w:lang w:val="en-US"/>
              </w:rPr>
            </w:pPr>
            <w:r>
              <w:rPr>
                <w:rFonts w:hint="default" w:ascii="Segoe UI" w:hAnsi="Segoe UI"/>
                <w:sz w:val="16"/>
                <w:szCs w:val="16"/>
                <w:highlight w:val="none"/>
                <w:lang w:val="en-US"/>
              </w:rPr>
              <w:t>P260: Do not breathe dust/ fume/ gas/ mist/ vapours/ spray.</w:t>
            </w:r>
          </w:p>
          <w:p w14:paraId="057CF0D3">
            <w:pPr>
              <w:rPr>
                <w:rFonts w:hint="default" w:ascii="Segoe UI" w:hAnsi="Segoe UI"/>
                <w:sz w:val="16"/>
                <w:szCs w:val="16"/>
                <w:highlight w:val="none"/>
                <w:lang w:val="en-US"/>
              </w:rPr>
            </w:pPr>
            <w:r>
              <w:rPr>
                <w:rFonts w:hint="default" w:ascii="Segoe UI" w:hAnsi="Segoe UI"/>
                <w:sz w:val="16"/>
                <w:szCs w:val="16"/>
                <w:highlight w:val="none"/>
                <w:lang w:val="en-US"/>
              </w:rPr>
              <w:t>P280: Wear protective gloves/ eye protection/ face protection.</w:t>
            </w:r>
          </w:p>
          <w:p w14:paraId="78E224CC">
            <w:pPr>
              <w:rPr>
                <w:rFonts w:hint="default" w:ascii="Segoe UI" w:hAnsi="Segoe UI"/>
                <w:sz w:val="16"/>
                <w:szCs w:val="16"/>
                <w:highlight w:val="none"/>
                <w:lang w:val="en-US"/>
              </w:rPr>
            </w:pPr>
            <w:r>
              <w:rPr>
                <w:rFonts w:hint="default" w:ascii="Segoe UI" w:hAnsi="Segoe UI"/>
                <w:sz w:val="16"/>
                <w:szCs w:val="16"/>
                <w:highlight w:val="none"/>
                <w:lang w:val="en-US"/>
              </w:rPr>
              <w:t xml:space="preserve">P301 + P310: IF SWALLOWED: Immediately call a POISON </w:t>
            </w:r>
          </w:p>
          <w:p w14:paraId="24071E10">
            <w:pPr>
              <w:rPr>
                <w:rFonts w:hint="default" w:ascii="Segoe UI" w:hAnsi="Segoe UI"/>
                <w:sz w:val="16"/>
                <w:szCs w:val="16"/>
                <w:highlight w:val="none"/>
                <w:lang w:val="en-US"/>
              </w:rPr>
            </w:pPr>
            <w:r>
              <w:rPr>
                <w:rFonts w:hint="default" w:ascii="Segoe UI" w:hAnsi="Segoe UI"/>
                <w:sz w:val="16"/>
                <w:szCs w:val="16"/>
                <w:highlight w:val="none"/>
                <w:lang w:val="en-US"/>
              </w:rPr>
              <w:t>CENTER/ doctor.</w:t>
            </w:r>
          </w:p>
          <w:p w14:paraId="0FA0F300">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542787E8">
            <w:pPr>
              <w:rPr>
                <w:rFonts w:hint="default" w:ascii="Segoe UI" w:hAnsi="Segoe UI"/>
                <w:sz w:val="16"/>
                <w:szCs w:val="16"/>
                <w:highlight w:val="none"/>
                <w:lang w:val="en-US"/>
              </w:rPr>
            </w:pPr>
            <w:r>
              <w:rPr>
                <w:rFonts w:hint="default" w:ascii="Segoe UI" w:hAnsi="Segoe UI"/>
                <w:sz w:val="16"/>
                <w:szCs w:val="16"/>
                <w:highlight w:val="none"/>
                <w:lang w:val="en-US"/>
              </w:rPr>
              <w:t xml:space="preserve">P305 + P351 + P338: IF IN EYES: Rinse cautiously with water for </w:t>
            </w:r>
          </w:p>
          <w:p w14:paraId="0408328A">
            <w:pPr>
              <w:rPr>
                <w:rFonts w:hint="default" w:ascii="Segoe UI" w:hAnsi="Segoe UI"/>
                <w:sz w:val="16"/>
                <w:szCs w:val="16"/>
                <w:highlight w:val="none"/>
                <w:lang w:val="en-US"/>
              </w:rPr>
            </w:pPr>
            <w:r>
              <w:rPr>
                <w:rFonts w:hint="default" w:ascii="Segoe UI" w:hAnsi="Segoe UI"/>
                <w:sz w:val="16"/>
                <w:szCs w:val="16"/>
                <w:highlight w:val="none"/>
                <w:lang w:val="en-US"/>
              </w:rPr>
              <w:t xml:space="preserve">several minutes. Remove contact lenses, if present and easy to do. </w:t>
            </w:r>
          </w:p>
          <w:p w14:paraId="7042BEFA">
            <w:pPr>
              <w:rPr>
                <w:rFonts w:hint="default" w:ascii="Segoe UI" w:hAnsi="Segoe UI"/>
                <w:sz w:val="16"/>
                <w:szCs w:val="16"/>
                <w:highlight w:val="none"/>
                <w:lang w:val="en-US"/>
              </w:rPr>
            </w:pPr>
            <w:r>
              <w:rPr>
                <w:rFonts w:hint="default" w:ascii="Segoe UI" w:hAnsi="Segoe UI"/>
                <w:sz w:val="16"/>
                <w:szCs w:val="16"/>
                <w:highlight w:val="none"/>
                <w:lang w:val="en-US"/>
              </w:rPr>
              <w:t>Continue rinsing.</w:t>
            </w:r>
          </w:p>
          <w:p w14:paraId="1096EE1C">
            <w:pPr>
              <w:rPr>
                <w:rFonts w:hint="default" w:ascii="Segoe UI" w:hAnsi="Segoe UI"/>
                <w:sz w:val="16"/>
                <w:szCs w:val="16"/>
                <w:highlight w:val="none"/>
                <w:lang w:val="en-US"/>
              </w:rPr>
            </w:pPr>
            <w:r>
              <w:rPr>
                <w:rFonts w:hint="default" w:ascii="Segoe UI" w:hAnsi="Segoe UI"/>
                <w:sz w:val="16"/>
                <w:szCs w:val="16"/>
                <w:highlight w:val="none"/>
                <w:lang w:val="en-US"/>
              </w:rPr>
              <w:t>P314: Get medical advice/ attention if you feel unwell.</w:t>
            </w:r>
          </w:p>
          <w:p w14:paraId="7AD6F9F1">
            <w:pPr>
              <w:rPr>
                <w:rFonts w:ascii="Segoe UI" w:hAnsi="Segoe UI" w:cs="Segoe UI"/>
                <w:sz w:val="16"/>
                <w:szCs w:val="16"/>
                <w:highlight w:val="none"/>
                <w:lang w:val="en-US"/>
              </w:rPr>
            </w:pPr>
            <w:r>
              <w:rPr>
                <w:rFonts w:hint="default" w:ascii="Segoe UI" w:hAnsi="Segoe UI"/>
                <w:sz w:val="16"/>
                <w:szCs w:val="16"/>
                <w:highlight w:val="none"/>
                <w:lang w:val="en-US"/>
              </w:rPr>
              <w:t>P331: Do NOT induce vomiting.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536" w:hRule="atLeast"/>
        </w:trPr>
        <w:tc>
          <w:tcPr>
            <w:tcW w:w="10773" w:type="dxa"/>
            <w:gridSpan w:val="2"/>
            <w:shd w:val="clear" w:color="auto" w:fill="auto"/>
          </w:tcPr>
          <w:p w14:paraId="3B30AF95">
            <w:pPr>
              <w:rPr>
                <w:rFonts w:ascii="Segoe UI" w:hAnsi="Segoe UI" w:cs="Segoe UI"/>
                <w:sz w:val="16"/>
                <w:szCs w:val="16"/>
                <w:highlight w:val="none"/>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23"/>
            </w:tblGrid>
            <w:tr w14:paraId="1CC7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3" w:type="dxa"/>
                </w:tcPr>
                <w:p w14:paraId="7E4AD933">
                  <w:pPr>
                    <w:rPr>
                      <w:rFonts w:ascii="Segoe UI" w:hAnsi="Segoe UI" w:cs="Segoe UI"/>
                      <w:sz w:val="16"/>
                      <w:szCs w:val="16"/>
                      <w:highlight w:val="none"/>
                      <w:vertAlign w:val="baseline"/>
                      <w:lang w:val="en-US"/>
                    </w:rPr>
                  </w:pPr>
                  <w:r>
                    <w:rPr>
                      <w:rFonts w:hint="default" w:ascii="Segoe UI" w:hAnsi="Segoe UI"/>
                      <w:sz w:val="16"/>
                      <w:szCs w:val="16"/>
                      <w:highlight w:val="none"/>
                      <w:vertAlign w:val="baseline"/>
                      <w:lang w:val="en-US"/>
                    </w:rPr>
                    <w:t xml:space="preserve">IARC </w:t>
                  </w:r>
                  <w:r>
                    <w:rPr>
                      <w:rFonts w:hint="default" w:ascii="Segoe UI" w:hAnsi="Segoe UI"/>
                      <w:sz w:val="16"/>
                      <w:szCs w:val="16"/>
                      <w:highlight w:val="none"/>
                      <w:vertAlign w:val="baseline"/>
                      <w:lang w:val="pt-BR"/>
                    </w:rPr>
                    <w:t xml:space="preserve">                                                                                    </w:t>
                  </w:r>
                  <w:r>
                    <w:rPr>
                      <w:rFonts w:hint="default" w:ascii="Segoe UI" w:hAnsi="Segoe UI"/>
                      <w:sz w:val="16"/>
                      <w:szCs w:val="16"/>
                      <w:highlight w:val="none"/>
                      <w:vertAlign w:val="baseline"/>
                      <w:lang w:val="en-US"/>
                    </w:rPr>
                    <w:t xml:space="preserve">MYRCENE </w:t>
                  </w:r>
                  <w:r>
                    <w:rPr>
                      <w:rFonts w:hint="default" w:ascii="Segoe UI" w:hAnsi="Segoe UI"/>
                      <w:sz w:val="16"/>
                      <w:szCs w:val="16"/>
                      <w:highlight w:val="none"/>
                      <w:vertAlign w:val="baseline"/>
                      <w:lang w:val="pt-BR"/>
                    </w:rPr>
                    <w:t xml:space="preserve">                                                                                                  </w:t>
                  </w:r>
                  <w:r>
                    <w:rPr>
                      <w:rFonts w:hint="default" w:ascii="Segoe UI" w:hAnsi="Segoe UI"/>
                      <w:sz w:val="16"/>
                      <w:szCs w:val="16"/>
                      <w:highlight w:val="none"/>
                      <w:vertAlign w:val="baseline"/>
                      <w:lang w:val="en-US"/>
                    </w:rPr>
                    <w:t>123-35-3</w:t>
                  </w:r>
                </w:p>
              </w:tc>
            </w:tr>
          </w:tbl>
          <w:p w14:paraId="276ED2B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28815D1F">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66FE53DB">
            <w:pPr>
              <w:rPr>
                <w:rFonts w:hint="default" w:ascii="Segoe UI" w:hAnsi="Segoe UI"/>
                <w:sz w:val="16"/>
                <w:szCs w:val="16"/>
                <w:lang w:val="en-US"/>
              </w:rPr>
            </w:pPr>
            <w:r>
              <w:rPr>
                <w:rFonts w:hint="default" w:ascii="Segoe UI" w:hAnsi="Segoe UI"/>
                <w:sz w:val="16"/>
                <w:szCs w:val="16"/>
                <w:lang w:val="en-US"/>
              </w:rPr>
              <w:t>May be fatal if swallowed and enters airways.</w:t>
            </w:r>
          </w:p>
          <w:p w14:paraId="612858F2">
            <w:pPr>
              <w:rPr>
                <w:rFonts w:hint="default" w:ascii="Segoe UI" w:hAnsi="Segoe UI"/>
                <w:sz w:val="16"/>
                <w:szCs w:val="16"/>
                <w:lang w:val="en-US"/>
              </w:rPr>
            </w:pPr>
            <w:r>
              <w:rPr>
                <w:rFonts w:hint="default" w:ascii="Segoe UI" w:hAnsi="Segoe UI"/>
                <w:sz w:val="16"/>
                <w:szCs w:val="16"/>
                <w:lang w:val="en-US"/>
              </w:rPr>
              <w:t>Causes skin irritation.</w:t>
            </w:r>
          </w:p>
          <w:p w14:paraId="5EAB43C3">
            <w:pPr>
              <w:rPr>
                <w:rFonts w:hint="default" w:ascii="Segoe UI" w:hAnsi="Segoe UI"/>
                <w:sz w:val="16"/>
                <w:szCs w:val="16"/>
                <w:lang w:val="en-US"/>
              </w:rPr>
            </w:pPr>
            <w:r>
              <w:rPr>
                <w:rFonts w:hint="default" w:ascii="Segoe UI" w:hAnsi="Segoe UI"/>
                <w:sz w:val="16"/>
                <w:szCs w:val="16"/>
                <w:lang w:val="en-US"/>
              </w:rPr>
              <w:t>May cause an allergic skin reaction.</w:t>
            </w:r>
          </w:p>
          <w:p w14:paraId="13C90FE9">
            <w:pPr>
              <w:rPr>
                <w:rFonts w:hint="default" w:ascii="Segoe UI" w:hAnsi="Segoe UI"/>
                <w:sz w:val="16"/>
                <w:szCs w:val="16"/>
                <w:lang w:val="en-US"/>
              </w:rPr>
            </w:pPr>
            <w:r>
              <w:rPr>
                <w:rFonts w:hint="default" w:ascii="Segoe UI" w:hAnsi="Segoe UI"/>
                <w:sz w:val="16"/>
                <w:szCs w:val="16"/>
                <w:lang w:val="en-US"/>
              </w:rPr>
              <w:t>Causes serious eye irritation.</w:t>
            </w:r>
          </w:p>
          <w:p w14:paraId="267554D8">
            <w:pPr>
              <w:rPr>
                <w:rFonts w:hint="default" w:ascii="Segoe UI" w:hAnsi="Segoe UI"/>
                <w:sz w:val="16"/>
                <w:szCs w:val="16"/>
                <w:lang w:val="en-US"/>
              </w:rPr>
            </w:pPr>
            <w:r>
              <w:rPr>
                <w:rFonts w:hint="default" w:ascii="Segoe UI" w:hAnsi="Segoe UI"/>
                <w:sz w:val="16"/>
                <w:szCs w:val="16"/>
                <w:lang w:val="en-US"/>
              </w:rPr>
              <w:t>Harmful if inhaled.</w:t>
            </w:r>
          </w:p>
          <w:p w14:paraId="7F6DEE43">
            <w:pPr>
              <w:rPr>
                <w:rFonts w:hint="default" w:ascii="Segoe UI" w:hAnsi="Segoe UI" w:cs="Segoe UI"/>
                <w:sz w:val="16"/>
                <w:szCs w:val="16"/>
                <w:lang w:val="pt-BR"/>
              </w:rPr>
            </w:pPr>
            <w:r>
              <w:rPr>
                <w:rFonts w:hint="default" w:ascii="Segoe UI" w:hAnsi="Segoe UI"/>
                <w:sz w:val="16"/>
                <w:szCs w:val="16"/>
                <w:lang w:val="en-US"/>
              </w:rPr>
              <w:t>May cause damage to organs through prolonged or repeated exposure</w:t>
            </w:r>
            <w:r>
              <w:rPr>
                <w:rFonts w:hint="default" w:ascii="Segoe UI" w:hAnsi="Segoe UI"/>
                <w:sz w:val="16"/>
                <w:szCs w:val="16"/>
                <w:lang w:val="pt-BR"/>
              </w:rPr>
              <w:t xml:space="preserve"> if swallowed.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136 °F (58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2D1BC314">
                  <w:pPr>
                    <w:jc w:val="both"/>
                    <w:rPr>
                      <w:rFonts w:hint="default" w:ascii="Segoe UI" w:hAnsi="Segoe UI"/>
                      <w:sz w:val="16"/>
                      <w:szCs w:val="16"/>
                      <w:highlight w:val="none"/>
                      <w:lang w:val="en-US"/>
                    </w:rPr>
                  </w:pPr>
                  <w:r>
                    <w:rPr>
                      <w:rFonts w:hint="default" w:ascii="Segoe UI" w:hAnsi="Segoe UI"/>
                      <w:sz w:val="16"/>
                      <w:szCs w:val="16"/>
                      <w:highlight w:val="none"/>
                      <w:lang w:val="en-US"/>
                    </w:rPr>
                    <w:t>1,2-Benzenedicarboxyli</w:t>
                  </w:r>
                </w:p>
                <w:p w14:paraId="7D8E0003">
                  <w:pPr>
                    <w:jc w:val="both"/>
                    <w:rPr>
                      <w:rFonts w:hint="default" w:ascii="Segoe UI" w:hAnsi="Segoe UI" w:cs="Segoe UI"/>
                      <w:sz w:val="16"/>
                      <w:szCs w:val="16"/>
                      <w:highlight w:val="none"/>
                      <w:lang w:val="pt-BR"/>
                    </w:rPr>
                  </w:pPr>
                  <w:r>
                    <w:rPr>
                      <w:rFonts w:hint="default" w:ascii="Segoe UI" w:hAnsi="Segoe UI"/>
                      <w:sz w:val="16"/>
                      <w:szCs w:val="16"/>
                      <w:highlight w:val="none"/>
                      <w:lang w:val="en-US"/>
                    </w:rPr>
                    <w:t>c acid, 1,2-diethyl</w:t>
                  </w:r>
                  <w:r>
                    <w:rPr>
                      <w:rFonts w:hint="default" w:ascii="Segoe UI" w:hAnsi="Segoe UI"/>
                      <w:sz w:val="16"/>
                      <w:szCs w:val="16"/>
                      <w:highlight w:val="none"/>
                      <w:lang w:val="pt-BR"/>
                    </w:rPr>
                    <w:t xml:space="preserve"> ester</w:t>
                  </w:r>
                </w:p>
              </w:tc>
              <w:tc>
                <w:tcPr>
                  <w:tcW w:w="2580" w:type="dxa"/>
                </w:tcPr>
                <w:p w14:paraId="70BAF18E">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USA. ACGIH Threshold Limit </w:t>
                  </w:r>
                </w:p>
                <w:p w14:paraId="43292907">
                  <w:pPr>
                    <w:jc w:val="center"/>
                    <w:rPr>
                      <w:rFonts w:ascii="Segoe UI" w:hAnsi="Segoe UI" w:cs="Segoe UI"/>
                      <w:sz w:val="16"/>
                      <w:szCs w:val="16"/>
                      <w:highlight w:val="none"/>
                      <w:lang w:val="en-US"/>
                    </w:rPr>
                  </w:pPr>
                  <w:r>
                    <w:rPr>
                      <w:rFonts w:hint="default" w:ascii="Segoe UI" w:hAnsi="Segoe UI"/>
                      <w:sz w:val="16"/>
                      <w:szCs w:val="16"/>
                      <w:highlight w:val="none"/>
                      <w:lang w:val="en-US"/>
                    </w:rPr>
                    <w:t>Values (TLV)</w:t>
                  </w:r>
                </w:p>
              </w:tc>
              <w:tc>
                <w:tcPr>
                  <w:tcW w:w="2574" w:type="dxa"/>
                </w:tcPr>
                <w:p w14:paraId="77E7540A">
                  <w:pPr>
                    <w:jc w:val="center"/>
                    <w:rPr>
                      <w:rFonts w:ascii="Segoe UI" w:hAnsi="Segoe UI" w:cs="Segoe UI"/>
                      <w:sz w:val="16"/>
                      <w:szCs w:val="16"/>
                      <w:highlight w:val="none"/>
                      <w:lang w:val="en-US"/>
                    </w:rPr>
                  </w:pPr>
                  <w:r>
                    <w:rPr>
                      <w:rFonts w:hint="default" w:ascii="Segoe UI" w:hAnsi="Segoe UI"/>
                      <w:sz w:val="16"/>
                      <w:szCs w:val="16"/>
                      <w:highlight w:val="none"/>
                      <w:lang w:val="en-US"/>
                    </w:rPr>
                    <w:t>8-hour, time-weighted average</w:t>
                  </w:r>
                </w:p>
              </w:tc>
              <w:tc>
                <w:tcPr>
                  <w:tcW w:w="2672" w:type="dxa"/>
                </w:tcPr>
                <w:p w14:paraId="3C14FCA7">
                  <w:pPr>
                    <w:jc w:val="center"/>
                    <w:rPr>
                      <w:rFonts w:ascii="Segoe UI" w:hAnsi="Segoe UI" w:cs="Segoe UI"/>
                      <w:sz w:val="16"/>
                      <w:szCs w:val="16"/>
                      <w:highlight w:val="none"/>
                      <w:lang w:val="en-US"/>
                    </w:rPr>
                  </w:pPr>
                  <w:r>
                    <w:rPr>
                      <w:rFonts w:hint="default" w:ascii="Segoe UI" w:hAnsi="Segoe UI"/>
                      <w:sz w:val="16"/>
                      <w:szCs w:val="16"/>
                      <w:highlight w:val="none"/>
                      <w:lang w:val="en-US"/>
                    </w:rPr>
                    <w:t>5 mg/m3</w:t>
                  </w: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62763A8B">
                  <w:pPr>
                    <w:jc w:val="both"/>
                    <w:rPr>
                      <w:rFonts w:hint="default" w:ascii="Segoe UI" w:hAnsi="Segoe UI"/>
                      <w:sz w:val="16"/>
                      <w:szCs w:val="16"/>
                      <w:highlight w:val="none"/>
                      <w:lang w:val="en-US"/>
                    </w:rPr>
                  </w:pPr>
                  <w:r>
                    <w:rPr>
                      <w:rFonts w:hint="default" w:ascii="Segoe UI" w:hAnsi="Segoe UI"/>
                      <w:sz w:val="16"/>
                      <w:szCs w:val="16"/>
                      <w:highlight w:val="none"/>
                      <w:lang w:val="en-US"/>
                    </w:rPr>
                    <w:t>1,2-Benzenedicarboxyli</w:t>
                  </w:r>
                </w:p>
                <w:p w14:paraId="004DC7CB">
                  <w:pPr>
                    <w:jc w:val="both"/>
                    <w:rPr>
                      <w:rFonts w:ascii="Segoe UI" w:hAnsi="Segoe UI" w:cs="Segoe UI"/>
                      <w:sz w:val="16"/>
                      <w:szCs w:val="16"/>
                      <w:highlight w:val="none"/>
                      <w:lang w:val="en-US"/>
                    </w:rPr>
                  </w:pPr>
                  <w:r>
                    <w:rPr>
                      <w:rFonts w:hint="default" w:ascii="Segoe UI" w:hAnsi="Segoe UI"/>
                      <w:sz w:val="16"/>
                      <w:szCs w:val="16"/>
                      <w:highlight w:val="none"/>
                      <w:lang w:val="en-US"/>
                    </w:rPr>
                    <w:t>c acid, 1,2-diethyl ester</w:t>
                  </w:r>
                </w:p>
              </w:tc>
              <w:tc>
                <w:tcPr>
                  <w:tcW w:w="2580" w:type="dxa"/>
                </w:tcPr>
                <w:p w14:paraId="727785A9">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USA. NIOSH Recommended </w:t>
                  </w:r>
                </w:p>
                <w:p w14:paraId="504A151C">
                  <w:pPr>
                    <w:jc w:val="center"/>
                    <w:rPr>
                      <w:rFonts w:ascii="Segoe UI" w:hAnsi="Segoe UI" w:cs="Segoe UI"/>
                      <w:sz w:val="16"/>
                      <w:szCs w:val="16"/>
                      <w:highlight w:val="none"/>
                      <w:lang w:val="en-US"/>
                    </w:rPr>
                  </w:pPr>
                  <w:r>
                    <w:rPr>
                      <w:rFonts w:hint="default" w:ascii="Segoe UI" w:hAnsi="Segoe UI"/>
                      <w:sz w:val="16"/>
                      <w:szCs w:val="16"/>
                      <w:highlight w:val="none"/>
                      <w:lang w:val="en-US"/>
                    </w:rPr>
                    <w:t>Exposure Limits</w:t>
                  </w:r>
                </w:p>
              </w:tc>
              <w:tc>
                <w:tcPr>
                  <w:tcW w:w="2574" w:type="dxa"/>
                </w:tcPr>
                <w:p w14:paraId="57824F1D">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Time-weighted average </w:t>
                  </w:r>
                </w:p>
                <w:p w14:paraId="583ECC2B">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concentration for up to a 10-hour </w:t>
                  </w:r>
                </w:p>
                <w:p w14:paraId="11E60475">
                  <w:pPr>
                    <w:jc w:val="center"/>
                    <w:rPr>
                      <w:rFonts w:hint="default" w:ascii="Segoe UI" w:hAnsi="Segoe UI" w:cs="Segoe UI"/>
                      <w:sz w:val="16"/>
                      <w:szCs w:val="16"/>
                      <w:highlight w:val="none"/>
                      <w:lang w:val="pt-BR"/>
                    </w:rPr>
                  </w:pPr>
                  <w:r>
                    <w:rPr>
                      <w:rFonts w:hint="default" w:ascii="Segoe UI" w:hAnsi="Segoe UI"/>
                      <w:sz w:val="16"/>
                      <w:szCs w:val="16"/>
                      <w:highlight w:val="none"/>
                      <w:lang w:val="en-US"/>
                    </w:rPr>
                    <w:t>workday during a 40-hour</w:t>
                  </w:r>
                  <w:r>
                    <w:rPr>
                      <w:rFonts w:hint="default" w:ascii="Segoe UI" w:hAnsi="Segoe UI"/>
                      <w:sz w:val="16"/>
                      <w:szCs w:val="16"/>
                      <w:highlight w:val="none"/>
                      <w:lang w:val="pt-BR"/>
                    </w:rPr>
                    <w:t xml:space="preserve"> workweek</w:t>
                  </w:r>
                </w:p>
              </w:tc>
              <w:tc>
                <w:tcPr>
                  <w:tcW w:w="2672" w:type="dxa"/>
                </w:tcPr>
                <w:p w14:paraId="48278934">
                  <w:pPr>
                    <w:jc w:val="center"/>
                    <w:rPr>
                      <w:rFonts w:ascii="Segoe UI" w:hAnsi="Segoe UI" w:cs="Segoe UI"/>
                      <w:sz w:val="16"/>
                      <w:szCs w:val="16"/>
                      <w:highlight w:val="none"/>
                      <w:lang w:val="en-US"/>
                    </w:rPr>
                  </w:pPr>
                  <w:r>
                    <w:rPr>
                      <w:rFonts w:hint="default" w:ascii="Segoe UI" w:hAnsi="Segoe UI"/>
                      <w:sz w:val="16"/>
                      <w:szCs w:val="16"/>
                      <w:highlight w:val="none"/>
                      <w:lang w:val="en-US"/>
                    </w:rPr>
                    <w:t>5 mg/m3</w:t>
                  </w:r>
                </w:p>
              </w:tc>
            </w:tr>
            <w:tr w14:paraId="0F4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439F3602">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1,2-</w:t>
                  </w:r>
                </w:p>
                <w:p w14:paraId="71B9C62E">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Benzenedicarboxyli</w:t>
                  </w:r>
                </w:p>
                <w:p w14:paraId="53E71314">
                  <w:pPr>
                    <w:ind w:left="0" w:leftChars="0" w:right="0" w:rightChars="0"/>
                    <w:rPr>
                      <w:rFonts w:hint="default" w:ascii="Segoe UI" w:hAnsi="Segoe UI"/>
                      <w:sz w:val="16"/>
                      <w:szCs w:val="16"/>
                      <w:highlight w:val="none"/>
                      <w:lang w:val="pt-BR"/>
                    </w:rPr>
                  </w:pPr>
                  <w:r>
                    <w:rPr>
                      <w:rFonts w:hint="default" w:ascii="Segoe UI" w:hAnsi="Segoe UI"/>
                      <w:sz w:val="16"/>
                      <w:szCs w:val="16"/>
                      <w:highlight w:val="none"/>
                      <w:lang w:val="en-US"/>
                    </w:rPr>
                    <w:t>c acid, 1,2-diethy</w:t>
                  </w:r>
                  <w:r>
                    <w:rPr>
                      <w:rFonts w:hint="default" w:ascii="Segoe UI" w:hAnsi="Segoe UI"/>
                      <w:sz w:val="16"/>
                      <w:szCs w:val="16"/>
                      <w:highlight w:val="none"/>
                      <w:lang w:val="pt-BR"/>
                    </w:rPr>
                    <w:t xml:space="preserve"> ester</w:t>
                  </w:r>
                </w:p>
              </w:tc>
              <w:tc>
                <w:tcPr>
                  <w:tcW w:w="2580" w:type="dxa"/>
                  <w:vAlign w:val="top"/>
                </w:tcPr>
                <w:p w14:paraId="7587BE62">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 xml:space="preserve">USA. Table Z-1-A Limits for Air </w:t>
                  </w:r>
                </w:p>
                <w:p w14:paraId="44046A62">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Contaminants (1989 vacated values)</w:t>
                  </w:r>
                </w:p>
              </w:tc>
              <w:tc>
                <w:tcPr>
                  <w:tcW w:w="2574" w:type="dxa"/>
                  <w:vAlign w:val="top"/>
                </w:tcPr>
                <w:p w14:paraId="0C8C085F">
                  <w:pPr>
                    <w:ind w:left="0" w:leftChars="0" w:right="0" w:rightChars="0" w:firstLine="80" w:firstLineChars="50"/>
                    <w:rPr>
                      <w:rFonts w:hint="default" w:ascii="Segoe UI" w:hAnsi="Segoe UI"/>
                      <w:sz w:val="16"/>
                      <w:szCs w:val="16"/>
                      <w:highlight w:val="none"/>
                      <w:lang w:val="en-US"/>
                    </w:rPr>
                  </w:pPr>
                  <w:r>
                    <w:rPr>
                      <w:rFonts w:hint="default" w:ascii="Segoe UI" w:hAnsi="Segoe UI"/>
                      <w:sz w:val="16"/>
                      <w:szCs w:val="16"/>
                      <w:highlight w:val="none"/>
                      <w:lang w:val="en-US"/>
                    </w:rPr>
                    <w:t>8-hour time weighted average</w:t>
                  </w:r>
                </w:p>
              </w:tc>
              <w:tc>
                <w:tcPr>
                  <w:tcW w:w="2672" w:type="dxa"/>
                  <w:vAlign w:val="top"/>
                </w:tcPr>
                <w:p w14:paraId="480D4253">
                  <w:pPr>
                    <w:ind w:left="0" w:leftChars="0" w:right="0" w:rightChars="0" w:firstLine="800" w:firstLineChars="500"/>
                    <w:rPr>
                      <w:rFonts w:hint="default" w:ascii="Segoe UI" w:hAnsi="Segoe UI"/>
                      <w:sz w:val="16"/>
                      <w:szCs w:val="16"/>
                      <w:highlight w:val="none"/>
                      <w:lang w:val="pt-BR"/>
                    </w:rPr>
                  </w:pPr>
                  <w:r>
                    <w:rPr>
                      <w:rFonts w:hint="default" w:ascii="Segoe UI" w:hAnsi="Segoe UI"/>
                      <w:sz w:val="16"/>
                      <w:szCs w:val="16"/>
                      <w:highlight w:val="none"/>
                      <w:lang w:val="en-US"/>
                    </w:rPr>
                    <w:t>5 mg/m</w:t>
                  </w:r>
                  <w:r>
                    <w:rPr>
                      <w:rFonts w:hint="default" w:ascii="Segoe UI" w:hAnsi="Segoe UI"/>
                      <w:sz w:val="16"/>
                      <w:szCs w:val="16"/>
                      <w:highlight w:val="none"/>
                      <w:lang w:val="pt-BR"/>
                    </w:rPr>
                    <w:t>3</w:t>
                  </w:r>
                </w:p>
              </w:tc>
            </w:tr>
            <w:tr w14:paraId="78AE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67FB89CC">
                  <w:pPr>
                    <w:jc w:val="both"/>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1,2-Benzenedicarboxyli</w:t>
                  </w:r>
                </w:p>
                <w:p w14:paraId="3B6787D4">
                  <w:pPr>
                    <w:jc w:val="both"/>
                    <w:rPr>
                      <w:rFonts w:ascii="Segoe UI" w:hAnsi="Segoe UI" w:eastAsia="Arial MT" w:cs="Segoe UI"/>
                      <w:sz w:val="16"/>
                      <w:szCs w:val="16"/>
                      <w:highlight w:val="none"/>
                      <w:lang w:val="en-US" w:eastAsia="en-US" w:bidi="ar-SA"/>
                    </w:rPr>
                  </w:pPr>
                  <w:r>
                    <w:rPr>
                      <w:rFonts w:hint="default" w:ascii="Segoe UI" w:hAnsi="Segoe UI" w:eastAsia="Arial MT"/>
                      <w:sz w:val="16"/>
                      <w:szCs w:val="16"/>
                      <w:highlight w:val="none"/>
                      <w:lang w:val="en-US" w:eastAsia="en-US"/>
                    </w:rPr>
                    <w:t>c acid, 1,2-diethyl ester</w:t>
                  </w:r>
                </w:p>
              </w:tc>
              <w:tc>
                <w:tcPr>
                  <w:tcW w:w="2580" w:type="dxa"/>
                </w:tcPr>
                <w:p w14:paraId="3D5ECE57">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 xml:space="preserve">California permissible exposure </w:t>
                  </w:r>
                </w:p>
                <w:p w14:paraId="7A5EE527">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 xml:space="preserve">limits for chemical contaminants </w:t>
                  </w:r>
                </w:p>
                <w:p w14:paraId="6B198091">
                  <w:pPr>
                    <w:jc w:val="center"/>
                    <w:rPr>
                      <w:rFonts w:ascii="Segoe UI" w:hAnsi="Segoe UI" w:eastAsia="Arial MT" w:cs="Segoe UI"/>
                      <w:sz w:val="16"/>
                      <w:szCs w:val="16"/>
                      <w:highlight w:val="none"/>
                      <w:lang w:val="en-US" w:eastAsia="en-US" w:bidi="ar-SA"/>
                    </w:rPr>
                  </w:pPr>
                  <w:r>
                    <w:rPr>
                      <w:rFonts w:hint="default" w:ascii="Segoe UI" w:hAnsi="Segoe UI" w:eastAsia="Arial MT"/>
                      <w:sz w:val="16"/>
                      <w:szCs w:val="16"/>
                      <w:highlight w:val="none"/>
                      <w:lang w:val="en-US" w:eastAsia="en-US"/>
                    </w:rPr>
                    <w:t>(Title 8, Article 107)</w:t>
                  </w:r>
                </w:p>
              </w:tc>
              <w:tc>
                <w:tcPr>
                  <w:tcW w:w="2574" w:type="dxa"/>
                </w:tcPr>
                <w:p w14:paraId="4663EA39">
                  <w:pPr>
                    <w:jc w:val="center"/>
                    <w:rPr>
                      <w:rFonts w:ascii="Segoe UI" w:hAnsi="Segoe UI" w:eastAsia="Arial MT" w:cs="Segoe UI"/>
                      <w:sz w:val="16"/>
                      <w:szCs w:val="16"/>
                      <w:highlight w:val="none"/>
                      <w:lang w:val="en-US" w:eastAsia="en-US" w:bidi="ar-SA"/>
                    </w:rPr>
                  </w:pPr>
                  <w:r>
                    <w:rPr>
                      <w:rFonts w:hint="default" w:ascii="Segoe UI" w:hAnsi="Segoe UI" w:eastAsia="Arial MT"/>
                      <w:sz w:val="16"/>
                      <w:szCs w:val="16"/>
                      <w:highlight w:val="none"/>
                      <w:lang w:val="en-US" w:eastAsia="en-US"/>
                    </w:rPr>
                    <w:t xml:space="preserve">Permissible exposure limit </w:t>
                  </w:r>
                </w:p>
              </w:tc>
              <w:tc>
                <w:tcPr>
                  <w:tcW w:w="2672" w:type="dxa"/>
                </w:tcPr>
                <w:p w14:paraId="06E1EDD7">
                  <w:pPr>
                    <w:jc w:val="center"/>
                    <w:rPr>
                      <w:rFonts w:ascii="Segoe UI" w:hAnsi="Segoe UI" w:eastAsia="Arial MT" w:cs="Segoe UI"/>
                      <w:sz w:val="16"/>
                      <w:szCs w:val="16"/>
                      <w:highlight w:val="none"/>
                      <w:lang w:val="en-US" w:eastAsia="en-US" w:bidi="ar-SA"/>
                    </w:rPr>
                  </w:pPr>
                  <w:r>
                    <w:rPr>
                      <w:rFonts w:hint="default" w:ascii="Segoe UI" w:hAnsi="Segoe UI" w:eastAsia="Arial MT"/>
                      <w:sz w:val="16"/>
                      <w:szCs w:val="16"/>
                      <w:highlight w:val="none"/>
                      <w:lang w:val="en-US" w:eastAsia="en-US"/>
                    </w:rPr>
                    <w:t>5 mg/m3</w:t>
                  </w:r>
                </w:p>
              </w:tc>
            </w:tr>
            <w:tr w14:paraId="0FA2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0579F8AC">
                  <w:pPr>
                    <w:jc w:val="both"/>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Cyclohexene, 1-</w:t>
                  </w:r>
                </w:p>
                <w:p w14:paraId="097F3263">
                  <w:pPr>
                    <w:jc w:val="both"/>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methyl-4-(1-</w:t>
                  </w:r>
                </w:p>
                <w:p w14:paraId="2234B596">
                  <w:pPr>
                    <w:jc w:val="both"/>
                    <w:rPr>
                      <w:rFonts w:hint="default" w:ascii="Segoe UI" w:hAnsi="Segoe UI" w:eastAsia="Arial MT"/>
                      <w:sz w:val="16"/>
                      <w:szCs w:val="16"/>
                      <w:highlight w:val="none"/>
                      <w:lang w:val="pt-BR" w:eastAsia="en-US"/>
                    </w:rPr>
                  </w:pPr>
                  <w:r>
                    <w:rPr>
                      <w:rFonts w:hint="default" w:ascii="Segoe UI" w:hAnsi="Segoe UI" w:eastAsia="Arial MT"/>
                      <w:sz w:val="16"/>
                      <w:szCs w:val="16"/>
                      <w:highlight w:val="none"/>
                      <w:lang w:val="en-US" w:eastAsia="en-US"/>
                    </w:rPr>
                    <w:t>methylethenyl)-,(4R)</w:t>
                  </w:r>
                  <w:r>
                    <w:rPr>
                      <w:rFonts w:hint="default" w:ascii="Segoe UI" w:hAnsi="Segoe UI"/>
                      <w:sz w:val="16"/>
                      <w:szCs w:val="16"/>
                      <w:highlight w:val="none"/>
                      <w:lang w:val="pt-BR" w:eastAsia="en-US"/>
                    </w:rPr>
                    <w:t>-</w:t>
                  </w:r>
                </w:p>
              </w:tc>
              <w:tc>
                <w:tcPr>
                  <w:tcW w:w="2580" w:type="dxa"/>
                </w:tcPr>
                <w:p w14:paraId="6FCB7FDA">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USA. Workplace Environmental</w:t>
                  </w:r>
                </w:p>
                <w:p w14:paraId="1F9D8E16">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Exposure Levels (WEEL)</w:t>
                  </w:r>
                </w:p>
              </w:tc>
              <w:tc>
                <w:tcPr>
                  <w:tcW w:w="2574" w:type="dxa"/>
                </w:tcPr>
                <w:p w14:paraId="693FCD84">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8-hr TWA</w:t>
                  </w:r>
                </w:p>
                <w:p w14:paraId="00AB825D">
                  <w:pPr>
                    <w:jc w:val="center"/>
                    <w:rPr>
                      <w:rFonts w:hint="default" w:ascii="Segoe UI" w:hAnsi="Segoe UI" w:eastAsia="Arial MT"/>
                      <w:sz w:val="16"/>
                      <w:szCs w:val="16"/>
                      <w:highlight w:val="none"/>
                      <w:lang w:val="en-US" w:eastAsia="en-US"/>
                    </w:rPr>
                  </w:pPr>
                </w:p>
              </w:tc>
              <w:tc>
                <w:tcPr>
                  <w:tcW w:w="2672" w:type="dxa"/>
                </w:tcPr>
                <w:p w14:paraId="45D53203">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30 ppm</w:t>
                  </w:r>
                </w:p>
              </w:tc>
            </w:tr>
          </w:tbl>
          <w:p w14:paraId="3D955CB3">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136 °F (58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p w14:paraId="0196F4C5">
            <w:pPr>
              <w:ind w:firstLine="960" w:firstLineChars="600"/>
              <w:rPr>
                <w:rFonts w:ascii="Segoe UI" w:hAnsi="Segoe UI" w:cs="Segoe UI"/>
                <w:b/>
                <w:bCs/>
                <w:sz w:val="16"/>
                <w:szCs w:val="16"/>
                <w:highlight w:val="none"/>
              </w:rPr>
            </w:pPr>
            <w:r>
              <w:rPr>
                <w:rFonts w:hint="default" w:ascii="Segoe UI" w:hAnsi="Segoe UI"/>
                <w:b w:val="0"/>
                <w:bCs w:val="0"/>
                <w:sz w:val="16"/>
                <w:szCs w:val="16"/>
                <w:highlight w:val="none"/>
              </w:rPr>
              <w:t>Proper shipping name</w:t>
            </w:r>
          </w:p>
        </w:tc>
        <w:tc>
          <w:tcPr>
            <w:tcW w:w="8082" w:type="dxa"/>
            <w:shd w:val="clear" w:color="auto" w:fill="auto"/>
          </w:tcPr>
          <w:p w14:paraId="3CD6C489">
            <w:pPr>
              <w:rPr>
                <w:rFonts w:hint="default" w:ascii="Segoe UI" w:hAnsi="Segoe UI"/>
                <w:sz w:val="16"/>
                <w:szCs w:val="16"/>
                <w:highlight w:val="none"/>
                <w:lang w:val="en-US"/>
              </w:rPr>
            </w:pPr>
          </w:p>
          <w:p w14:paraId="7CBDAD9D">
            <w:pPr>
              <w:rPr>
                <w:rFonts w:hint="default" w:ascii="Segoe UI" w:hAnsi="Segoe UI" w:cs="Segoe UI"/>
                <w:sz w:val="16"/>
                <w:szCs w:val="16"/>
                <w:highlight w:val="yellow"/>
                <w:lang w:val="pt-BR"/>
              </w:rPr>
            </w:pPr>
            <w:r>
              <w:rPr>
                <w:rFonts w:hint="default" w:ascii="Segoe UI" w:hAnsi="Segoe UI"/>
                <w:sz w:val="16"/>
                <w:szCs w:val="16"/>
                <w:highlight w:val="none"/>
                <w:lang w:val="pt-BR"/>
              </w:rPr>
              <w:t xml:space="preserve">: </w:t>
            </w:r>
            <w:r>
              <w:rPr>
                <w:rFonts w:hint="default" w:ascii="Segoe UI" w:hAnsi="Segoe UI"/>
                <w:sz w:val="16"/>
                <w:szCs w:val="16"/>
                <w:highlight w:val="none"/>
                <w:lang w:val="en-US"/>
              </w:rPr>
              <w:t>Combustible liquid, n.o.s.</w:t>
            </w:r>
            <w:r>
              <w:rPr>
                <w:rFonts w:hint="default" w:ascii="Segoe UI" w:hAnsi="Segoe UI"/>
                <w:sz w:val="16"/>
                <w:szCs w:val="16"/>
                <w:highlight w:val="none"/>
                <w:lang w:val="pt-BR"/>
              </w:rPr>
              <w:t xml:space="preserve"> (DEPENTENE)</w:t>
            </w:r>
          </w:p>
        </w:tc>
      </w:tr>
      <w:tr w14:paraId="6388902F">
        <w:tblPrEx>
          <w:tblCellMar>
            <w:top w:w="57" w:type="dxa"/>
            <w:left w:w="70" w:type="dxa"/>
            <w:bottom w:w="57" w:type="dxa"/>
            <w:right w:w="70" w:type="dxa"/>
          </w:tblCellMar>
        </w:tblPrEx>
        <w:trPr>
          <w:trHeight w:val="98" w:hRule="atLeast"/>
        </w:trPr>
        <w:tc>
          <w:tcPr>
            <w:tcW w:w="2691" w:type="dxa"/>
            <w:shd w:val="clear" w:color="auto" w:fill="auto"/>
          </w:tcPr>
          <w:p w14:paraId="52826C45">
            <w:pPr>
              <w:ind w:firstLine="960" w:firstLineChars="600"/>
              <w:rPr>
                <w:rFonts w:hint="default" w:ascii="Segoe UI" w:hAnsi="Segoe UI"/>
                <w:b w:val="0"/>
                <w:bCs w:val="0"/>
                <w:sz w:val="16"/>
                <w:szCs w:val="16"/>
                <w:highlight w:val="none"/>
              </w:rPr>
            </w:pPr>
            <w:r>
              <w:rPr>
                <w:rFonts w:hint="default" w:ascii="Segoe UI" w:hAnsi="Segoe UI"/>
                <w:sz w:val="16"/>
                <w:szCs w:val="16"/>
                <w:highlight w:val="none"/>
                <w:lang w:val="en-US"/>
              </w:rPr>
              <w:t>Labels</w:t>
            </w:r>
          </w:p>
        </w:tc>
        <w:tc>
          <w:tcPr>
            <w:tcW w:w="8082" w:type="dxa"/>
            <w:shd w:val="clear" w:color="auto" w:fill="auto"/>
          </w:tcPr>
          <w:p w14:paraId="31046C64">
            <w:pPr>
              <w:rPr>
                <w:rFonts w:hint="default" w:ascii="Segoe UI" w:hAnsi="Segoe UI"/>
                <w:sz w:val="16"/>
                <w:szCs w:val="16"/>
                <w:highlight w:val="none"/>
                <w:lang w:val="pt-BR"/>
              </w:rPr>
            </w:pPr>
            <w:r>
              <w:rPr>
                <w:rFonts w:hint="default" w:ascii="Segoe UI" w:hAnsi="Segoe UI"/>
                <w:sz w:val="16"/>
                <w:szCs w:val="16"/>
                <w:highlight w:val="none"/>
                <w:lang w:val="pt-BR"/>
              </w:rPr>
              <w:t>: NONE</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ind w:firstLine="960" w:firstLineChars="600"/>
              <w:rPr>
                <w:rFonts w:ascii="Segoe UI" w:hAnsi="Segoe UI" w:cs="Segoe UI"/>
                <w:sz w:val="16"/>
                <w:szCs w:val="16"/>
                <w:highlight w:val="none"/>
                <w:lang w:val="en-US"/>
              </w:rPr>
            </w:pPr>
            <w:r>
              <w:rPr>
                <w:rFonts w:hint="default" w:ascii="Segoe UI" w:hAnsi="Segoe UI"/>
                <w:sz w:val="16"/>
                <w:szCs w:val="16"/>
                <w:highlight w:val="none"/>
                <w:lang w:val="en-US"/>
              </w:rPr>
              <w:t>UN number</w:t>
            </w:r>
          </w:p>
        </w:tc>
        <w:tc>
          <w:tcPr>
            <w:tcW w:w="8082" w:type="dxa"/>
            <w:shd w:val="clear" w:color="auto" w:fill="auto"/>
          </w:tcPr>
          <w:p w14:paraId="745496BC">
            <w:pPr>
              <w:rPr>
                <w:rFonts w:hint="default" w:ascii="Segoe UI" w:hAnsi="Segoe UI" w:cs="Segoe UI"/>
                <w:sz w:val="16"/>
                <w:szCs w:val="16"/>
                <w:highlight w:val="none"/>
                <w:lang w:val="pt-BR"/>
              </w:rPr>
            </w:pPr>
            <w:r>
              <w:rPr>
                <w:rFonts w:hint="default" w:ascii="Segoe UI" w:hAnsi="Segoe UI"/>
                <w:sz w:val="16"/>
                <w:szCs w:val="16"/>
                <w:highlight w:val="none"/>
                <w:lang w:val="en-US"/>
              </w:rPr>
              <w:t>:</w:t>
            </w:r>
            <w:r>
              <w:rPr>
                <w:rFonts w:hint="default" w:ascii="Segoe UI" w:hAnsi="Segoe UI"/>
                <w:sz w:val="16"/>
                <w:szCs w:val="16"/>
                <w:highlight w:val="none"/>
                <w:lang w:val="pt-BR"/>
              </w:rPr>
              <w:t>1993</w:t>
            </w:r>
          </w:p>
        </w:tc>
      </w:tr>
      <w:tr w14:paraId="279A1970">
        <w:tblPrEx>
          <w:tblCellMar>
            <w:top w:w="57" w:type="dxa"/>
            <w:left w:w="70" w:type="dxa"/>
            <w:bottom w:w="57" w:type="dxa"/>
            <w:right w:w="70" w:type="dxa"/>
          </w:tblCellMar>
        </w:tblPrEx>
        <w:trPr>
          <w:trHeight w:val="98" w:hRule="atLeast"/>
        </w:trPr>
        <w:tc>
          <w:tcPr>
            <w:tcW w:w="2691" w:type="dxa"/>
            <w:shd w:val="clear" w:color="auto" w:fill="auto"/>
          </w:tcPr>
          <w:p w14:paraId="07E25BCD">
            <w:pPr>
              <w:ind w:firstLine="960" w:firstLineChars="600"/>
              <w:rPr>
                <w:rFonts w:hint="default" w:ascii="Segoe UI" w:hAnsi="Segoe UI"/>
                <w:sz w:val="16"/>
                <w:szCs w:val="16"/>
                <w:highlight w:val="none"/>
                <w:lang w:val="pt-BR"/>
              </w:rPr>
            </w:pPr>
            <w:r>
              <w:rPr>
                <w:rFonts w:hint="default" w:ascii="Segoe UI" w:hAnsi="Segoe UI"/>
                <w:sz w:val="16"/>
                <w:szCs w:val="16"/>
                <w:highlight w:val="none"/>
                <w:lang w:val="pt-BR"/>
              </w:rPr>
              <w:t>CLASS</w:t>
            </w:r>
          </w:p>
        </w:tc>
        <w:tc>
          <w:tcPr>
            <w:tcW w:w="8082" w:type="dxa"/>
            <w:shd w:val="clear" w:color="auto" w:fill="auto"/>
          </w:tcPr>
          <w:p w14:paraId="7C25ABD4">
            <w:pPr>
              <w:rPr>
                <w:rFonts w:hint="default" w:ascii="Segoe UI" w:hAnsi="Segoe UI"/>
                <w:sz w:val="16"/>
                <w:szCs w:val="16"/>
                <w:highlight w:val="none"/>
                <w:lang w:val="pt-BR"/>
              </w:rPr>
            </w:pPr>
            <w:r>
              <w:rPr>
                <w:rFonts w:hint="default" w:ascii="Segoe UI" w:hAnsi="Segoe UI"/>
                <w:sz w:val="16"/>
                <w:szCs w:val="16"/>
                <w:highlight w:val="none"/>
                <w:lang w:val="pt-BR"/>
              </w:rPr>
              <w:t>: CBL</w:t>
            </w:r>
          </w:p>
        </w:tc>
      </w:tr>
      <w:tr w14:paraId="0EE86DC8">
        <w:tblPrEx>
          <w:tblCellMar>
            <w:top w:w="57" w:type="dxa"/>
            <w:left w:w="70" w:type="dxa"/>
            <w:bottom w:w="57" w:type="dxa"/>
            <w:right w:w="70" w:type="dxa"/>
          </w:tblCellMar>
        </w:tblPrEx>
        <w:trPr>
          <w:trHeight w:val="98" w:hRule="atLeast"/>
        </w:trPr>
        <w:tc>
          <w:tcPr>
            <w:tcW w:w="2691" w:type="dxa"/>
            <w:shd w:val="clear" w:color="auto" w:fill="auto"/>
          </w:tcPr>
          <w:p w14:paraId="28D155F8">
            <w:pPr>
              <w:ind w:firstLine="960" w:firstLineChars="600"/>
              <w:rPr>
                <w:rFonts w:hint="default" w:ascii="Segoe UI" w:hAnsi="Segoe UI"/>
                <w:sz w:val="16"/>
                <w:szCs w:val="16"/>
                <w:highlight w:val="none"/>
                <w:lang w:val="pt-BR"/>
              </w:rPr>
            </w:pPr>
            <w:r>
              <w:rPr>
                <w:rFonts w:hint="default" w:ascii="Segoe UI" w:hAnsi="Segoe UI"/>
                <w:sz w:val="16"/>
                <w:szCs w:val="16"/>
                <w:highlight w:val="none"/>
                <w:lang w:val="pt-BR"/>
              </w:rPr>
              <w:t>Packing group</w:t>
            </w:r>
          </w:p>
        </w:tc>
        <w:tc>
          <w:tcPr>
            <w:tcW w:w="8082" w:type="dxa"/>
            <w:shd w:val="clear" w:color="auto" w:fill="auto"/>
          </w:tcPr>
          <w:p w14:paraId="05F4DABB">
            <w:pPr>
              <w:rPr>
                <w:rFonts w:hint="default" w:ascii="Segoe UI" w:hAnsi="Segoe UI"/>
                <w:sz w:val="16"/>
                <w:szCs w:val="16"/>
                <w:highlight w:val="none"/>
                <w:lang w:val="pt-BR"/>
              </w:rPr>
            </w:pPr>
            <w:r>
              <w:rPr>
                <w:rFonts w:hint="default" w:ascii="Segoe UI" w:hAnsi="Segoe UI"/>
                <w:sz w:val="16"/>
                <w:szCs w:val="16"/>
                <w:highlight w:val="none"/>
                <w:lang w:val="en-US"/>
              </w:rPr>
              <w:t xml:space="preserve">: </w:t>
            </w:r>
            <w:r>
              <w:rPr>
                <w:rFonts w:hint="default" w:ascii="Segoe UI" w:hAnsi="Segoe UI"/>
                <w:sz w:val="16"/>
                <w:szCs w:val="16"/>
                <w:highlight w:val="none"/>
                <w:lang w:val="pt-BR"/>
              </w:rPr>
              <w:t>III</w:t>
            </w:r>
          </w:p>
        </w:tc>
      </w:tr>
      <w:tr w14:paraId="30FCDDB3">
        <w:tblPrEx>
          <w:tblCellMar>
            <w:top w:w="57" w:type="dxa"/>
            <w:left w:w="70" w:type="dxa"/>
            <w:bottom w:w="57" w:type="dxa"/>
            <w:right w:w="70" w:type="dxa"/>
          </w:tblCellMar>
        </w:tblPrEx>
        <w:trPr>
          <w:trHeight w:val="98" w:hRule="atLeast"/>
        </w:trPr>
        <w:tc>
          <w:tcPr>
            <w:tcW w:w="2691" w:type="dxa"/>
            <w:shd w:val="clear" w:color="auto" w:fill="auto"/>
          </w:tcPr>
          <w:p w14:paraId="4CF8EFCB">
            <w:pPr>
              <w:ind w:firstLine="960" w:firstLineChars="600"/>
              <w:rPr>
                <w:rFonts w:hint="default" w:ascii="Segoe UI" w:hAnsi="Segoe UI"/>
                <w:sz w:val="16"/>
                <w:szCs w:val="16"/>
                <w:highlight w:val="none"/>
                <w:lang w:val="pt-BR"/>
              </w:rPr>
            </w:pPr>
            <w:r>
              <w:rPr>
                <w:rFonts w:hint="default" w:ascii="Segoe UI" w:hAnsi="Segoe UI"/>
                <w:sz w:val="16"/>
                <w:szCs w:val="16"/>
                <w:highlight w:val="none"/>
                <w:lang w:val="pt-BR"/>
              </w:rPr>
              <w:t xml:space="preserve">Emergency Response </w:t>
            </w:r>
          </w:p>
          <w:p w14:paraId="1C5F2263">
            <w:pPr>
              <w:ind w:firstLine="960" w:firstLineChars="600"/>
              <w:rPr>
                <w:rFonts w:hint="default" w:ascii="Segoe UI" w:hAnsi="Segoe UI"/>
                <w:sz w:val="16"/>
                <w:szCs w:val="16"/>
                <w:highlight w:val="none"/>
                <w:lang w:val="pt-BR"/>
              </w:rPr>
            </w:pPr>
            <w:r>
              <w:rPr>
                <w:rFonts w:hint="default" w:ascii="Segoe UI" w:hAnsi="Segoe UI"/>
                <w:sz w:val="16"/>
                <w:szCs w:val="16"/>
                <w:highlight w:val="none"/>
                <w:lang w:val="pt-BR"/>
              </w:rPr>
              <w:t>Guidebook Number</w:t>
            </w:r>
          </w:p>
        </w:tc>
        <w:tc>
          <w:tcPr>
            <w:tcW w:w="8082" w:type="dxa"/>
            <w:shd w:val="clear" w:color="auto" w:fill="auto"/>
          </w:tcPr>
          <w:p w14:paraId="119942A7">
            <w:pPr>
              <w:rPr>
                <w:rFonts w:hint="default" w:ascii="Segoe UI" w:hAnsi="Segoe UI"/>
                <w:sz w:val="16"/>
                <w:szCs w:val="16"/>
                <w:highlight w:val="none"/>
                <w:lang w:val="pt-BR"/>
              </w:rPr>
            </w:pPr>
            <w:r>
              <w:rPr>
                <w:rFonts w:hint="default" w:ascii="Segoe UI" w:hAnsi="Segoe UI"/>
                <w:sz w:val="16"/>
                <w:szCs w:val="16"/>
                <w:highlight w:val="none"/>
                <w:lang w:val="pt-BR"/>
              </w:rPr>
              <w:t>:128</w:t>
            </w:r>
          </w:p>
        </w:tc>
      </w:tr>
      <w:tr w14:paraId="5176B834">
        <w:tblPrEx>
          <w:tblCellMar>
            <w:top w:w="57" w:type="dxa"/>
            <w:left w:w="70" w:type="dxa"/>
            <w:bottom w:w="57" w:type="dxa"/>
            <w:right w:w="70" w:type="dxa"/>
          </w:tblCellMar>
        </w:tblPrEx>
        <w:trPr>
          <w:trHeight w:val="98" w:hRule="atLeast"/>
        </w:trPr>
        <w:tc>
          <w:tcPr>
            <w:tcW w:w="2691" w:type="dxa"/>
            <w:shd w:val="clear" w:color="auto" w:fill="auto"/>
          </w:tcPr>
          <w:p w14:paraId="62AFB97F">
            <w:pPr>
              <w:ind w:firstLine="960" w:firstLineChars="600"/>
              <w:rPr>
                <w:rFonts w:hint="default" w:ascii="Segoe UI" w:hAnsi="Segoe UI"/>
                <w:sz w:val="16"/>
                <w:szCs w:val="16"/>
                <w:highlight w:val="none"/>
                <w:lang w:val="pt-BR"/>
              </w:rPr>
            </w:pPr>
          </w:p>
        </w:tc>
        <w:tc>
          <w:tcPr>
            <w:tcW w:w="8082" w:type="dxa"/>
            <w:shd w:val="clear" w:color="auto" w:fill="auto"/>
          </w:tcPr>
          <w:p w14:paraId="59AC7FF5">
            <w:pPr>
              <w:rPr>
                <w:rFonts w:hint="default" w:ascii="Segoe UI" w:hAnsi="Segoe UI"/>
                <w:sz w:val="16"/>
                <w:szCs w:val="16"/>
                <w:highlight w:val="none"/>
                <w:lang w:val="pt-BR"/>
              </w:rPr>
            </w:pPr>
          </w:p>
        </w:tc>
      </w:tr>
      <w:tr w14:paraId="1DD43427">
        <w:tblPrEx>
          <w:tblCellMar>
            <w:top w:w="57" w:type="dxa"/>
            <w:left w:w="70" w:type="dxa"/>
            <w:bottom w:w="57" w:type="dxa"/>
            <w:right w:w="70" w:type="dxa"/>
          </w:tblCellMar>
        </w:tblPrEx>
        <w:trPr>
          <w:trHeight w:val="98" w:hRule="atLeast"/>
        </w:trPr>
        <w:tc>
          <w:tcPr>
            <w:tcW w:w="2691" w:type="dxa"/>
            <w:shd w:val="clear" w:color="auto" w:fill="auto"/>
          </w:tcPr>
          <w:p w14:paraId="0FAB0FB1">
            <w:pPr>
              <w:ind w:firstLine="960" w:firstLineChars="600"/>
              <w:rPr>
                <w:rFonts w:hint="default" w:ascii="Segoe UI" w:hAnsi="Segoe UI"/>
                <w:sz w:val="16"/>
                <w:szCs w:val="16"/>
                <w:highlight w:val="none"/>
                <w:lang w:val="pt-BR"/>
              </w:rPr>
            </w:pPr>
            <w:r>
              <w:rPr>
                <w:rFonts w:hint="default" w:ascii="Segoe UI" w:hAnsi="Segoe UI"/>
                <w:b/>
                <w:bCs/>
                <w:sz w:val="16"/>
                <w:szCs w:val="16"/>
                <w:highlight w:val="none"/>
                <w:lang w:val="pt-BR"/>
              </w:rPr>
              <w:t>DOT NON-BULK</w:t>
            </w:r>
          </w:p>
        </w:tc>
        <w:tc>
          <w:tcPr>
            <w:tcW w:w="8082" w:type="dxa"/>
            <w:shd w:val="clear" w:color="auto" w:fill="auto"/>
          </w:tcPr>
          <w:p w14:paraId="5ED6CC46">
            <w:pPr>
              <w:rPr>
                <w:rFonts w:hint="default" w:ascii="Segoe UI" w:hAnsi="Segoe UI"/>
                <w:sz w:val="16"/>
                <w:szCs w:val="16"/>
                <w:highlight w:val="none"/>
                <w:lang w:val="pt-BR"/>
              </w:rPr>
            </w:pPr>
            <w:r>
              <w:rPr>
                <w:rFonts w:hint="default" w:ascii="Segoe UI" w:hAnsi="Segoe UI"/>
                <w:sz w:val="16"/>
                <w:szCs w:val="16"/>
                <w:highlight w:val="none"/>
                <w:lang w:val="pt-BR"/>
              </w:rPr>
              <w:t>Not dangerous goods</w:t>
            </w:r>
          </w:p>
        </w:tc>
      </w:tr>
      <w:tr w14:paraId="325F792B">
        <w:tblPrEx>
          <w:tblCellMar>
            <w:top w:w="57" w:type="dxa"/>
            <w:left w:w="70" w:type="dxa"/>
            <w:bottom w:w="57" w:type="dxa"/>
            <w:right w:w="70" w:type="dxa"/>
          </w:tblCellMar>
        </w:tblPrEx>
        <w:trPr>
          <w:trHeight w:val="98" w:hRule="atLeast"/>
        </w:trPr>
        <w:tc>
          <w:tcPr>
            <w:tcW w:w="2691" w:type="dxa"/>
            <w:shd w:val="clear" w:color="auto" w:fill="auto"/>
          </w:tcPr>
          <w:p w14:paraId="1E5AD676">
            <w:pPr>
              <w:ind w:firstLine="960" w:firstLineChars="600"/>
              <w:rPr>
                <w:rFonts w:hint="default" w:ascii="Segoe UI" w:hAnsi="Segoe UI"/>
                <w:sz w:val="16"/>
                <w:szCs w:val="16"/>
                <w:highlight w:val="none"/>
                <w:lang w:val="pt-BR"/>
              </w:rPr>
            </w:pPr>
          </w:p>
        </w:tc>
        <w:tc>
          <w:tcPr>
            <w:tcW w:w="8082" w:type="dxa"/>
            <w:shd w:val="clear" w:color="auto" w:fill="auto"/>
          </w:tcPr>
          <w:p w14:paraId="43CA0712">
            <w:pPr>
              <w:rPr>
                <w:rFonts w:hint="default" w:ascii="Segoe UI" w:hAnsi="Segoe UI"/>
                <w:sz w:val="16"/>
                <w:szCs w:val="16"/>
                <w:highlight w:val="yellow"/>
                <w:lang w:val="pt-BR"/>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1993</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hint="default" w:ascii="Segoe UI" w:hAnsi="Segoe UI" w:cs="Segoe UI"/>
                <w:sz w:val="16"/>
                <w:szCs w:val="16"/>
                <w:highlight w:val="none"/>
                <w:lang w:val="pt-BR"/>
              </w:rPr>
            </w:pPr>
            <w:r>
              <w:rPr>
                <w:rFonts w:hint="default" w:ascii="Segoe UI" w:hAnsi="Segoe UI"/>
                <w:sz w:val="16"/>
                <w:szCs w:val="16"/>
                <w:highlight w:val="none"/>
                <w:lang w:val="en-US"/>
              </w:rPr>
              <w:t>FLAMMABLE LIQUID, N.O.S.</w:t>
            </w:r>
            <w:r>
              <w:rPr>
                <w:rFonts w:hint="default" w:ascii="Segoe UI" w:hAnsi="Segoe UI"/>
                <w:sz w:val="16"/>
                <w:szCs w:val="16"/>
                <w:highlight w:val="none"/>
                <w:lang w:val="pt-BR"/>
              </w:rPr>
              <w:t xml:space="preserve"> (DIPENTENE</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3</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3</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6808FACC">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1993</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hint="default" w:ascii="Segoe UI" w:hAnsi="Segoe UI"/>
                <w:sz w:val="16"/>
                <w:szCs w:val="16"/>
                <w:highlight w:val="none"/>
                <w:lang w:val="en-US"/>
              </w:rPr>
              <w:t>FLAMMABLE LIQUID, N.O.S. (DIPENTENE</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hint="default" w:ascii="Segoe UI" w:hAnsi="Segoe UI" w:cs="Segoe UI"/>
                <w:sz w:val="16"/>
                <w:szCs w:val="16"/>
                <w:highlight w:val="none"/>
                <w:lang w:val="pt-BR"/>
              </w:rPr>
            </w:pPr>
            <w:r>
              <w:rPr>
                <w:rFonts w:ascii="Segoe UI" w:hAnsi="Segoe UI" w:cs="Segoe UI"/>
                <w:sz w:val="16"/>
                <w:szCs w:val="16"/>
                <w:highlight w:val="none"/>
                <w:lang w:val="en-US"/>
              </w:rPr>
              <w:t>F-</w:t>
            </w:r>
            <w:r>
              <w:rPr>
                <w:rFonts w:hint="default" w:ascii="Segoe UI" w:hAnsi="Segoe UI" w:cs="Segoe UI"/>
                <w:sz w:val="16"/>
                <w:szCs w:val="16"/>
                <w:highlight w:val="none"/>
                <w:lang w:val="pt-BR"/>
              </w:rPr>
              <w:t>E</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hint="default" w:ascii="Segoe UI" w:hAnsi="Segoe UI" w:cs="Segoe UI"/>
                <w:sz w:val="16"/>
                <w:szCs w:val="16"/>
                <w:highlight w:val="none"/>
                <w:lang w:val="pt-BR"/>
              </w:rPr>
            </w:pPr>
            <w:r>
              <w:rPr>
                <w:rFonts w:ascii="Segoe UI" w:hAnsi="Segoe UI" w:cs="Segoe UI"/>
                <w:sz w:val="16"/>
                <w:szCs w:val="16"/>
                <w:highlight w:val="none"/>
                <w:lang w:val="en-US"/>
              </w:rPr>
              <w:t>S-</w:t>
            </w:r>
            <w:r>
              <w:rPr>
                <w:rFonts w:hint="default" w:ascii="Segoe UI" w:hAnsi="Segoe UI" w:cs="Segoe UI"/>
                <w:sz w:val="16"/>
                <w:szCs w:val="16"/>
                <w:highlight w:val="none"/>
                <w:lang w:val="pt-BR"/>
              </w:rPr>
              <w:t>A</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No</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36095786">
            <w:pPr>
              <w:rPr>
                <w:rFonts w:hint="default" w:ascii="Segoe UI" w:hAnsi="Segoe UI" w:cs="Segoe UI"/>
                <w:sz w:val="16"/>
                <w:szCs w:val="16"/>
                <w:lang w:val="en-US"/>
              </w:rPr>
            </w:pPr>
            <w:r>
              <w:rPr>
                <w:rFonts w:hint="default" w:ascii="Segoe UI" w:hAnsi="Segoe UI" w:cs="Segoe UI"/>
                <w:sz w:val="16"/>
                <w:szCs w:val="16"/>
                <w:lang w:val="en-US"/>
              </w:rPr>
              <w:t xml:space="preserve">Above applies only to containers over 119 gallons or 450 liters. Not regulated if shipped in packages less than or equal to 119 gallons (450 liters). If </w:t>
            </w:r>
          </w:p>
          <w:p w14:paraId="7EC868E7">
            <w:pPr>
              <w:rPr>
                <w:rFonts w:hint="default" w:ascii="Segoe UI" w:hAnsi="Segoe UI" w:cs="Segoe UI"/>
                <w:sz w:val="16"/>
                <w:szCs w:val="16"/>
                <w:lang w:val="pt-BR"/>
              </w:rPr>
            </w:pPr>
            <w:r>
              <w:rPr>
                <w:rFonts w:hint="default" w:ascii="Segoe UI" w:hAnsi="Segoe UI" w:cs="Segoe UI"/>
                <w:sz w:val="16"/>
                <w:szCs w:val="16"/>
                <w:lang w:val="en-US"/>
              </w:rPr>
              <w:t>transporting by vessel or aircraft, unless other means of transportation is impracticable, then the</w:t>
            </w:r>
            <w:r>
              <w:rPr>
                <w:rFonts w:hint="default" w:ascii="Segoe UI" w:hAnsi="Segoe UI" w:cs="Segoe UI"/>
                <w:sz w:val="16"/>
                <w:szCs w:val="16"/>
                <w:lang w:val="pt-BR"/>
              </w:rPr>
              <w:t xml:space="preserve"> </w:t>
            </w:r>
            <w:r>
              <w:rPr>
                <w:rFonts w:ascii="Segoe UI" w:hAnsi="Segoe UI" w:cs="Segoe UI"/>
                <w:sz w:val="16"/>
                <w:szCs w:val="16"/>
                <w:lang w:val="en-US" w:eastAsia="zh-CN"/>
              </w:rPr>
              <w:t>product must be shipped as a flammable liquid.</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67F55A44">
            <w:pPr>
              <w:rPr>
                <w:rFonts w:hint="default" w:ascii="Segoe UI" w:hAnsi="Segoe UI"/>
                <w:sz w:val="16"/>
                <w:szCs w:val="16"/>
                <w:highlight w:val="none"/>
                <w:lang w:val="en-US"/>
              </w:rPr>
            </w:pPr>
            <w:r>
              <w:rPr>
                <w:rFonts w:hint="default" w:ascii="Segoe UI" w:hAnsi="Segoe UI"/>
                <w:sz w:val="16"/>
                <w:szCs w:val="16"/>
                <w:highlight w:val="none"/>
                <w:lang w:val="en-US"/>
              </w:rPr>
              <w:t>Flammable (gases, aerosols, liquids, or solids)</w:t>
            </w:r>
          </w:p>
          <w:p w14:paraId="61190754">
            <w:pPr>
              <w:rPr>
                <w:rFonts w:hint="default" w:ascii="Segoe UI" w:hAnsi="Segoe UI"/>
                <w:sz w:val="16"/>
                <w:szCs w:val="16"/>
                <w:highlight w:val="none"/>
                <w:lang w:val="pt-BR"/>
              </w:rPr>
            </w:pPr>
            <w:r>
              <w:rPr>
                <w:rFonts w:hint="default" w:ascii="Segoe UI" w:hAnsi="Segoe UI"/>
                <w:sz w:val="16"/>
                <w:szCs w:val="16"/>
                <w:highlight w:val="none"/>
                <w:lang w:val="en-US"/>
              </w:rPr>
              <w:t>Skin corrosion or irritation</w:t>
            </w:r>
            <w:r>
              <w:rPr>
                <w:rFonts w:hint="default" w:ascii="Segoe UI" w:hAnsi="Segoe UI"/>
                <w:sz w:val="16"/>
                <w:szCs w:val="16"/>
                <w:highlight w:val="none"/>
                <w:lang w:val="pt-BR"/>
              </w:rPr>
              <w:t>.</w:t>
            </w:r>
          </w:p>
          <w:p w14:paraId="102B046E">
            <w:pPr>
              <w:rPr>
                <w:rFonts w:hint="default" w:ascii="Segoe UI" w:hAnsi="Segoe UI"/>
                <w:sz w:val="16"/>
                <w:szCs w:val="16"/>
                <w:highlight w:val="none"/>
                <w:lang w:val="pt-BR"/>
              </w:rPr>
            </w:pPr>
            <w:r>
              <w:rPr>
                <w:rFonts w:hint="default" w:ascii="Segoe UI" w:hAnsi="Segoe UI"/>
                <w:sz w:val="16"/>
                <w:szCs w:val="16"/>
                <w:highlight w:val="none"/>
                <w:lang w:val="en-US"/>
              </w:rPr>
              <w:t>Serious eye damage or eye irritation</w:t>
            </w:r>
            <w:r>
              <w:rPr>
                <w:rFonts w:hint="default" w:ascii="Segoe UI" w:hAnsi="Segoe UI"/>
                <w:sz w:val="16"/>
                <w:szCs w:val="16"/>
                <w:highlight w:val="none"/>
                <w:lang w:val="pt-BR"/>
              </w:rPr>
              <w:t>.</w:t>
            </w:r>
          </w:p>
          <w:p w14:paraId="3B3DD28B">
            <w:pPr>
              <w:rPr>
                <w:rFonts w:hint="default" w:ascii="Segoe UI" w:hAnsi="Segoe UI"/>
                <w:sz w:val="16"/>
                <w:szCs w:val="16"/>
                <w:highlight w:val="none"/>
                <w:lang w:val="pt-BR"/>
              </w:rPr>
            </w:pPr>
            <w:r>
              <w:rPr>
                <w:rFonts w:hint="default" w:ascii="Segoe UI" w:hAnsi="Segoe UI"/>
                <w:sz w:val="16"/>
                <w:szCs w:val="16"/>
                <w:highlight w:val="none"/>
                <w:lang w:val="pt-BR"/>
              </w:rPr>
              <w:t>Respiratory or skin sensitisation.</w:t>
            </w:r>
          </w:p>
          <w:p w14:paraId="0618A426">
            <w:pPr>
              <w:rPr>
                <w:rFonts w:hint="default" w:ascii="Segoe UI" w:hAnsi="Segoe UI"/>
                <w:sz w:val="16"/>
                <w:szCs w:val="16"/>
                <w:highlight w:val="none"/>
                <w:lang w:val="pt-BR"/>
              </w:rPr>
            </w:pPr>
            <w:r>
              <w:rPr>
                <w:rFonts w:hint="default" w:ascii="Segoe UI" w:hAnsi="Segoe UI"/>
                <w:sz w:val="16"/>
                <w:szCs w:val="16"/>
                <w:highlight w:val="none"/>
                <w:lang w:val="pt-BR"/>
              </w:rPr>
              <w:t>Aspiration hazard</w:t>
            </w:r>
          </w:p>
          <w:p w14:paraId="3C27A8CB">
            <w:pPr>
              <w:rPr>
                <w:rFonts w:hint="default" w:ascii="Segoe UI" w:hAnsi="Segoe UI"/>
                <w:sz w:val="16"/>
                <w:szCs w:val="16"/>
                <w:highlight w:val="none"/>
                <w:lang w:val="pt-BR"/>
              </w:rPr>
            </w:pPr>
            <w:r>
              <w:rPr>
                <w:rFonts w:hint="default" w:ascii="Segoe UI" w:hAnsi="Segoe UI"/>
                <w:sz w:val="16"/>
                <w:szCs w:val="16"/>
                <w:highlight w:val="none"/>
                <w:lang w:val="pt-BR"/>
              </w:rPr>
              <w:t>Acute toxicity (any route of exposure)</w:t>
            </w:r>
          </w:p>
          <w:p w14:paraId="2EA7D72C">
            <w:pPr>
              <w:rPr>
                <w:rFonts w:hint="default" w:ascii="Segoe UI" w:hAnsi="Segoe UI"/>
                <w:sz w:val="16"/>
                <w:szCs w:val="16"/>
                <w:highlight w:val="none"/>
                <w:lang w:val="pt-BR"/>
              </w:rPr>
            </w:pPr>
            <w:r>
              <w:rPr>
                <w:rFonts w:hint="default" w:ascii="Segoe UI" w:hAnsi="Segoe UI"/>
                <w:sz w:val="16"/>
                <w:szCs w:val="16"/>
                <w:highlight w:val="none"/>
                <w:lang w:val="pt-BR"/>
              </w:rPr>
              <w:t>Specific target organ toxicity (single or repeated exposure)</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bookmarkStart w:id="0" w:name="_GoBack" w:colFirst="1" w:colLast="1"/>
            <w:r>
              <w:rPr>
                <w:rFonts w:ascii="Segoe UI" w:hAnsi="Segoe UI" w:cs="Segoe UI"/>
                <w:sz w:val="16"/>
                <w:szCs w:val="16"/>
                <w:highlight w:val="none"/>
                <w:lang w:val="en-US"/>
              </w:rPr>
              <w:t>Health Hazard:</w:t>
            </w:r>
          </w:p>
        </w:tc>
        <w:tc>
          <w:tcPr>
            <w:tcW w:w="8082" w:type="dxa"/>
            <w:shd w:val="clear" w:color="auto" w:fill="auto"/>
          </w:tcPr>
          <w:p w14:paraId="63A9599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3</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bookmarkEnd w:id="0"/>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6A164D12">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2025/2/6</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5506" w:type="dxa"/>
        </w:tcPr>
        <w:p w14:paraId="19DF531F">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Product:</w:t>
          </w:r>
          <w:r>
            <w:rPr>
              <w:rFonts w:hint="default" w:ascii="Segoe UI" w:hAnsi="Segoe UI"/>
              <w:b/>
              <w:bCs/>
              <w:sz w:val="16"/>
              <w:szCs w:val="16"/>
              <w:lang w:val="en-US"/>
            </w:rPr>
            <w:t>SCE822895 APPLE SPICE CANDLE</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2025/2/6</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B886193"/>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GI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95</Words>
  <Characters>579</Characters>
  <TotalTime>23</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2025-02-06T20:29:28Z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