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7FB3EA7B">
            <w:pPr>
              <w:rPr>
                <w:rFonts w:hint="default" w:ascii="Segoe UI" w:hAnsi="Segoe UI" w:eastAsia="Times New Roman" w:cs="Times New Roman"/>
                <w:sz w:val="18"/>
                <w:szCs w:val="18"/>
              </w:rPr>
            </w:pPr>
            <w:r>
              <w:rPr>
                <w:rFonts w:hint="default" w:ascii="Segoe UI" w:hAnsi="Segoe UI" w:eastAsia="Times New Roman"/>
                <w:sz w:val="18"/>
                <w:szCs w:val="18"/>
              </w:rPr>
              <w:t>TWILIGHT BLOSSOM CANDLE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SCE810550</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7A13907D">
            <w:pPr>
              <w:rPr>
                <w:rFonts w:hint="default" w:ascii="Segoe UI" w:hAnsi="Segoe UI"/>
                <w:sz w:val="16"/>
                <w:szCs w:val="16"/>
                <w:highlight w:val="none"/>
                <w:lang w:val="en-US"/>
              </w:rPr>
            </w:pPr>
            <w:r>
              <w:rPr>
                <w:rFonts w:hint="default" w:ascii="Segoe UI" w:hAnsi="Segoe UI"/>
                <w:sz w:val="16"/>
                <w:szCs w:val="16"/>
                <w:highlight w:val="none"/>
                <w:lang w:val="en-US"/>
              </w:rPr>
              <w:t>Skin irritation, Category 2</w:t>
            </w:r>
          </w:p>
          <w:p w14:paraId="4455F93A">
            <w:pPr>
              <w:rPr>
                <w:rFonts w:hint="default" w:ascii="Segoe UI" w:hAnsi="Segoe UI"/>
                <w:sz w:val="16"/>
                <w:szCs w:val="16"/>
                <w:highlight w:val="none"/>
                <w:lang w:val="en-US"/>
              </w:rPr>
            </w:pPr>
            <w:r>
              <w:rPr>
                <w:rFonts w:hint="default" w:ascii="Segoe UI" w:hAnsi="Segoe UI"/>
                <w:sz w:val="16"/>
                <w:szCs w:val="16"/>
                <w:highlight w:val="none"/>
                <w:lang w:val="en-US"/>
              </w:rPr>
              <w:t>Eye irritation, Category 2A</w:t>
            </w:r>
          </w:p>
          <w:p w14:paraId="4270896D">
            <w:pPr>
              <w:rPr>
                <w:rFonts w:ascii="Segoe UI" w:hAnsi="Segoe UI" w:cs="Segoe UI"/>
                <w:sz w:val="16"/>
                <w:szCs w:val="16"/>
                <w:highlight w:val="none"/>
                <w:lang w:val="en-US"/>
              </w:rPr>
            </w:pPr>
            <w:r>
              <w:rPr>
                <w:rFonts w:hint="default" w:ascii="Segoe UI" w:hAnsi="Segoe UI"/>
                <w:sz w:val="16"/>
                <w:szCs w:val="16"/>
                <w:highlight w:val="none"/>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92"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3D375A80">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3EE8918B">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6002137">
            <w:pPr>
              <w:rPr>
                <w:rFonts w:hint="default" w:ascii="Segoe UI" w:hAnsi="Segoe UI"/>
                <w:sz w:val="16"/>
                <w:szCs w:val="16"/>
                <w:lang w:val="en-US"/>
              </w:rPr>
            </w:pPr>
            <w:r>
              <w:rPr>
                <w:rFonts w:hint="default" w:ascii="Segoe UI" w:hAnsi="Segoe UI"/>
                <w:sz w:val="16"/>
                <w:szCs w:val="16"/>
                <w:lang w:val="en-US"/>
              </w:rPr>
              <w:t>Causes skin irritation.</w:t>
            </w:r>
          </w:p>
          <w:p w14:paraId="6167C74D">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highlight w:val="none"/>
              </w:rPr>
              <w:t>267</w:t>
            </w:r>
            <w:r>
              <w:rPr>
                <w:rFonts w:hint="default" w:ascii="Segoe UI" w:hAnsi="Segoe UI"/>
                <w:sz w:val="16"/>
                <w:szCs w:val="16"/>
                <w:highlight w:val="none"/>
                <w:lang w:val="pt-BR"/>
              </w:rPr>
              <w:t>.</w:t>
            </w:r>
            <w:r>
              <w:rPr>
                <w:rFonts w:hint="default" w:ascii="Segoe UI" w:hAnsi="Segoe UI"/>
                <w:sz w:val="16"/>
                <w:szCs w:val="16"/>
                <w:highlight w:val="none"/>
              </w:rPr>
              <w:t>8 °F (</w:t>
            </w:r>
            <w:r>
              <w:rPr>
                <w:rFonts w:hint="default" w:ascii="Segoe UI" w:hAnsi="Segoe UI"/>
                <w:sz w:val="16"/>
                <w:szCs w:val="16"/>
                <w:highlight w:val="none"/>
                <w:lang w:val="pt-BR"/>
              </w:rPr>
              <w:t>131.00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9F173E6">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Cyclohexene, 1-</w:t>
                  </w:r>
                </w:p>
                <w:p w14:paraId="53E71314">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methyl-4-(1-methylethenyl)-, (4R)</w:t>
                  </w:r>
                  <w:r>
                    <w:rPr>
                      <w:rFonts w:hint="default" w:ascii="Segoe UI" w:hAnsi="Segoe UI" w:cs="Segoe UI"/>
                      <w:sz w:val="16"/>
                      <w:szCs w:val="16"/>
                      <w:highlight w:val="none"/>
                      <w:lang w:val="pt-BR"/>
                    </w:rPr>
                    <w:t>-</w:t>
                  </w:r>
                </w:p>
              </w:tc>
              <w:tc>
                <w:tcPr>
                  <w:tcW w:w="2580" w:type="dxa"/>
                  <w:vAlign w:val="top"/>
                </w:tcPr>
                <w:p w14:paraId="4CB95058">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 xml:space="preserve">USA. Workplace Environmental </w:t>
                  </w:r>
                </w:p>
                <w:p w14:paraId="44046A62">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Exposure Levels (WEEL)</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cs="Segoe UI"/>
                      <w:sz w:val="16"/>
                      <w:szCs w:val="16"/>
                      <w:highlight w:val="none"/>
                      <w:lang w:val="en-US"/>
                    </w:rPr>
                    <w:t>8-hr TWA</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cs="Segoe UI"/>
                      <w:sz w:val="16"/>
                      <w:szCs w:val="16"/>
                      <w:highlight w:val="none"/>
                      <w:lang w:val="en-US"/>
                    </w:rPr>
                    <w:t>30 ppm</w:t>
                  </w:r>
                </w:p>
              </w:tc>
            </w:tr>
            <w:tr w14:paraId="5479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0B1913D5">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Acetic acid, </w:t>
                  </w:r>
                </w:p>
                <w:p w14:paraId="7ADABABA">
                  <w:pPr>
                    <w:ind w:left="0" w:leftChars="0" w:right="0" w:rightChars="0"/>
                    <w:rPr>
                      <w:rFonts w:hint="default" w:ascii="Segoe UI" w:hAnsi="Segoe UI" w:cs="Segoe UI"/>
                      <w:sz w:val="16"/>
                      <w:szCs w:val="16"/>
                      <w:highlight w:val="none"/>
                      <w:lang w:val="en-US"/>
                    </w:rPr>
                  </w:pPr>
                  <w:r>
                    <w:rPr>
                      <w:rFonts w:hint="default" w:ascii="Segoe UI" w:hAnsi="Segoe UI"/>
                      <w:sz w:val="16"/>
                      <w:szCs w:val="16"/>
                      <w:highlight w:val="none"/>
                      <w:lang w:val="en-US"/>
                    </w:rPr>
                    <w:t>phenylmethyl ester</w:t>
                  </w:r>
                </w:p>
              </w:tc>
              <w:tc>
                <w:tcPr>
                  <w:tcW w:w="2580" w:type="dxa"/>
                  <w:vAlign w:val="top"/>
                </w:tcPr>
                <w:p w14:paraId="421C1310">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51333935">
                  <w:pPr>
                    <w:ind w:left="0" w:leftChars="0" w:right="0" w:rightChars="0"/>
                    <w:rPr>
                      <w:rFonts w:hint="default"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vAlign w:val="top"/>
                </w:tcPr>
                <w:p w14:paraId="7C2E1883">
                  <w:pPr>
                    <w:ind w:left="0" w:leftChars="0" w:right="0" w:rightChars="0" w:firstLine="80" w:firstLineChars="50"/>
                    <w:rPr>
                      <w:rFonts w:hint="default"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vAlign w:val="top"/>
                </w:tcPr>
                <w:p w14:paraId="0A7255C7">
                  <w:pPr>
                    <w:ind w:left="0" w:leftChars="0" w:right="0" w:rightChars="0" w:firstLine="800" w:firstLineChars="500"/>
                    <w:rPr>
                      <w:rFonts w:hint="default" w:ascii="Segoe UI" w:hAnsi="Segoe UI" w:cs="Segoe UI"/>
                      <w:sz w:val="16"/>
                      <w:szCs w:val="16"/>
                      <w:highlight w:val="none"/>
                      <w:lang w:val="en-US"/>
                    </w:rPr>
                  </w:pPr>
                  <w:r>
                    <w:rPr>
                      <w:rFonts w:hint="default" w:ascii="Segoe UI" w:hAnsi="Segoe UI"/>
                      <w:sz w:val="16"/>
                      <w:szCs w:val="16"/>
                      <w:highlight w:val="none"/>
                      <w:lang w:val="en-US"/>
                    </w:rPr>
                    <w:t>10 ppm</w:t>
                  </w:r>
                </w:p>
              </w:tc>
            </w:tr>
            <w:tr w14:paraId="0736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6E088855">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Acetic acid, </w:t>
                  </w:r>
                </w:p>
                <w:p w14:paraId="29E5A273">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phenylmethyl ester</w:t>
                  </w:r>
                </w:p>
              </w:tc>
              <w:tc>
                <w:tcPr>
                  <w:tcW w:w="2580" w:type="dxa"/>
                  <w:vAlign w:val="top"/>
                </w:tcPr>
                <w:p w14:paraId="56F853E1">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California permissible exposure </w:t>
                  </w:r>
                </w:p>
                <w:p w14:paraId="5A45CBC8">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limits for chemical contaminants </w:t>
                  </w:r>
                </w:p>
                <w:p w14:paraId="77B573C6">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(Title 8, Article 107)</w:t>
                  </w:r>
                </w:p>
              </w:tc>
              <w:tc>
                <w:tcPr>
                  <w:tcW w:w="2574" w:type="dxa"/>
                  <w:vAlign w:val="top"/>
                </w:tcPr>
                <w:p w14:paraId="6C33CB40">
                  <w:pPr>
                    <w:ind w:left="0" w:leftChars="0" w:right="0" w:rightChars="0" w:firstLine="80" w:firstLineChars="50"/>
                    <w:rPr>
                      <w:rFonts w:hint="default" w:ascii="Segoe UI" w:hAnsi="Segoe UI"/>
                      <w:sz w:val="16"/>
                      <w:szCs w:val="16"/>
                      <w:highlight w:val="none"/>
                      <w:lang w:val="en-US"/>
                    </w:rPr>
                  </w:pPr>
                  <w:r>
                    <w:rPr>
                      <w:rFonts w:hint="default" w:ascii="Segoe UI" w:hAnsi="Segoe UI"/>
                      <w:sz w:val="16"/>
                      <w:szCs w:val="16"/>
                      <w:highlight w:val="none"/>
                      <w:lang w:val="en-US"/>
                    </w:rPr>
                    <w:t>Permissible exposure limit</w:t>
                  </w:r>
                </w:p>
              </w:tc>
              <w:tc>
                <w:tcPr>
                  <w:tcW w:w="2672" w:type="dxa"/>
                  <w:vAlign w:val="top"/>
                </w:tcPr>
                <w:p w14:paraId="1C77829A">
                  <w:pPr>
                    <w:ind w:left="0" w:leftChars="0" w:right="0" w:rightChars="0" w:firstLine="800" w:firstLineChars="500"/>
                    <w:rPr>
                      <w:rFonts w:hint="default" w:ascii="Segoe UI" w:hAnsi="Segoe UI"/>
                      <w:sz w:val="16"/>
                      <w:szCs w:val="16"/>
                      <w:highlight w:val="none"/>
                      <w:lang w:val="en-US"/>
                    </w:rPr>
                  </w:pPr>
                  <w:r>
                    <w:rPr>
                      <w:rFonts w:hint="default" w:ascii="Segoe UI" w:hAnsi="Segoe UI"/>
                      <w:sz w:val="16"/>
                      <w:szCs w:val="16"/>
                      <w:highlight w:val="none"/>
                      <w:lang w:val="en-US"/>
                    </w:rPr>
                    <w:t>10 ppm</w:t>
                  </w:r>
                </w:p>
                <w:p w14:paraId="48CB8E3F">
                  <w:pPr>
                    <w:ind w:left="0" w:leftChars="0" w:right="0" w:rightChars="0" w:firstLine="800" w:firstLineChars="500"/>
                    <w:rPr>
                      <w:rFonts w:hint="default" w:ascii="Segoe UI" w:hAnsi="Segoe UI"/>
                      <w:sz w:val="16"/>
                      <w:szCs w:val="16"/>
                      <w:highlight w:val="none"/>
                      <w:lang w:val="en-US"/>
                    </w:rPr>
                  </w:pPr>
                  <w:r>
                    <w:rPr>
                      <w:rFonts w:hint="default" w:ascii="Segoe UI" w:hAnsi="Segoe UI"/>
                      <w:sz w:val="16"/>
                      <w:szCs w:val="16"/>
                      <w:highlight w:val="none"/>
                      <w:lang w:val="en-US"/>
                    </w:rPr>
                    <w:t>61 mg/m3</w:t>
                  </w:r>
                </w:p>
              </w:tc>
            </w:tr>
          </w:tbl>
          <w:p w14:paraId="511DE6F1">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267.8 °F (131.00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7CA6FF9">
            <w:pPr>
              <w:rPr>
                <w:rFonts w:hint="default" w:ascii="Segoe UI" w:hAnsi="Segoe UI"/>
                <w:sz w:val="16"/>
                <w:szCs w:val="16"/>
                <w:highlight w:val="none"/>
                <w:lang w:val="pt-BR"/>
              </w:rPr>
            </w:pPr>
            <w:r>
              <w:rPr>
                <w:rFonts w:hint="default" w:ascii="Segoe UI" w:hAnsi="Segoe UI"/>
                <w:sz w:val="16"/>
                <w:szCs w:val="16"/>
                <w:highlight w:val="none"/>
                <w:lang w:val="en-US"/>
              </w:rPr>
              <w:t>Skin corrosion or irritation</w:t>
            </w:r>
            <w:r>
              <w:rPr>
                <w:rFonts w:hint="default" w:ascii="Segoe UI" w:hAnsi="Segoe UI"/>
                <w:sz w:val="16"/>
                <w:szCs w:val="16"/>
                <w:highlight w:val="none"/>
                <w:lang w:val="pt-BR"/>
              </w:rPr>
              <w:t>.</w:t>
            </w:r>
          </w:p>
          <w:p w14:paraId="054DA692">
            <w:pPr>
              <w:rPr>
                <w:rFonts w:hint="default" w:ascii="Segoe UI" w:hAnsi="Segoe UI"/>
                <w:sz w:val="16"/>
                <w:szCs w:val="16"/>
                <w:highlight w:val="none"/>
                <w:lang w:val="pt-BR"/>
              </w:rPr>
            </w:pPr>
            <w:r>
              <w:rPr>
                <w:rFonts w:hint="default" w:ascii="Segoe UI" w:hAnsi="Segoe UI"/>
                <w:sz w:val="16"/>
                <w:szCs w:val="16"/>
                <w:highlight w:val="none"/>
                <w:lang w:val="en-US"/>
              </w:rPr>
              <w:t>Serious eye damage or eye irritation</w:t>
            </w:r>
            <w:r>
              <w:rPr>
                <w:rFonts w:hint="default" w:ascii="Segoe UI" w:hAnsi="Segoe UI"/>
                <w:sz w:val="16"/>
                <w:szCs w:val="16"/>
                <w:highlight w:val="none"/>
                <w:lang w:val="pt-BR"/>
              </w:rPr>
              <w:t>.</w:t>
            </w:r>
          </w:p>
          <w:p w14:paraId="67F55A44">
            <w:pPr>
              <w:rPr>
                <w:rFonts w:hint="default" w:ascii="Segoe UI" w:hAnsi="Segoe UI" w:cs="Segoe UI"/>
                <w:sz w:val="16"/>
                <w:szCs w:val="16"/>
                <w:highlight w:val="none"/>
                <w:lang w:val="pt-BR"/>
              </w:rPr>
            </w:pPr>
            <w:r>
              <w:rPr>
                <w:rFonts w:hint="default" w:ascii="Segoe UI" w:hAnsi="Segoe UI"/>
                <w:sz w:val="16"/>
                <w:szCs w:val="16"/>
                <w:highlight w:val="none"/>
                <w:lang w:val="en-US"/>
              </w:rPr>
              <w:t>Respiratory or skin sensitisation</w:t>
            </w:r>
            <w:r>
              <w:rPr>
                <w:rFonts w:hint="default" w:ascii="Segoe UI" w:hAnsi="Segoe UI"/>
                <w:sz w:val="16"/>
                <w:szCs w:val="16"/>
                <w:highlight w:val="none"/>
                <w:lang w:val="pt-BR"/>
              </w:rPr>
              <w:t>.</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6F75EBBB">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7"/>
      <w:gridCol w:w="555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2025/2/6</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5440C48C">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ascii="Segoe UI" w:hAnsi="Segoe UI" w:cs="Segoe UI"/>
              <w:b/>
              <w:bCs/>
              <w:sz w:val="16"/>
              <w:szCs w:val="16"/>
              <w:lang w:val="en-US"/>
            </w:rPr>
            <w:t>:</w:t>
          </w:r>
          <w:r>
            <w:rPr>
              <w:rFonts w:hint="default" w:ascii="Segoe UI" w:hAnsi="Segoe UI"/>
              <w:b/>
              <w:bCs/>
              <w:sz w:val="16"/>
              <w:szCs w:val="16"/>
              <w:lang w:val="en-US"/>
            </w:rPr>
            <w:t>SCE810550 TWILIGHT BLOSSOM CANDLE</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:2025/2/6</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9EC716F"/>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11</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2025-02-06T17:48:06Z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