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48F22E4">
            <w:pPr>
              <w:rPr>
                <w:rFonts w:hint="default" w:ascii="Segoe UI" w:hAnsi="Segoe UI" w:eastAsia="Times New Roman" w:cs="Times New Roman"/>
                <w:sz w:val="18"/>
                <w:szCs w:val="18"/>
              </w:rPr>
            </w:pPr>
            <w:r>
              <w:rPr>
                <w:rFonts w:hint="default" w:ascii="Segoe UI" w:hAnsi="Segoe UI" w:cs="Segoe UI"/>
                <w:sz w:val="16"/>
                <w:szCs w:val="16"/>
                <w:lang w:val="pt-BR"/>
              </w:rPr>
              <w:t xml:space="preserve"> NICHT ORCHID CANDL</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SCE810545</w:t>
            </w:r>
            <w:bookmarkStart w:id="0" w:name="_GoBack"/>
            <w:bookmarkEnd w:id="0"/>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2789E0DC">
            <w:pPr>
              <w:rPr>
                <w:rFonts w:hint="default" w:ascii="Segoe UI" w:hAnsi="Segoe UI"/>
                <w:sz w:val="16"/>
                <w:szCs w:val="16"/>
                <w:lang w:val="en-US"/>
              </w:rPr>
            </w:pPr>
            <w:r>
              <w:rPr>
                <w:rFonts w:hint="default" w:ascii="Segoe UI" w:hAnsi="Segoe UI"/>
                <w:sz w:val="16"/>
                <w:szCs w:val="16"/>
                <w:lang w:val="en-US"/>
              </w:rPr>
              <w:t>Skin irritation, Category 2</w:t>
            </w:r>
          </w:p>
          <w:p w14:paraId="45A413D0">
            <w:pPr>
              <w:rPr>
                <w:rFonts w:hint="default" w:ascii="Segoe UI" w:hAnsi="Segoe UI"/>
                <w:sz w:val="16"/>
                <w:szCs w:val="16"/>
                <w:lang w:val="en-US"/>
              </w:rPr>
            </w:pPr>
            <w:r>
              <w:rPr>
                <w:rFonts w:hint="default" w:ascii="Segoe UI" w:hAnsi="Segoe UI"/>
                <w:sz w:val="16"/>
                <w:szCs w:val="16"/>
                <w:lang w:val="en-US"/>
              </w:rPr>
              <w:t>Eye irritation, Category 2A</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08ED1E9">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47A396C0">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4FE1C9AF">
            <w:pPr>
              <w:rPr>
                <w:rFonts w:hint="default" w:ascii="Segoe UI" w:hAnsi="Segoe UI"/>
                <w:sz w:val="16"/>
                <w:szCs w:val="16"/>
                <w:highlight w:val="none"/>
                <w:lang w:val="en-US"/>
              </w:rPr>
            </w:pPr>
            <w:r>
              <w:rPr>
                <w:rFonts w:hint="default" w:ascii="Segoe UI" w:hAnsi="Segoe UI"/>
                <w:sz w:val="16"/>
                <w:szCs w:val="16"/>
                <w:highlight w:val="none"/>
                <w:lang w:val="en-US"/>
              </w:rPr>
              <w:t>P261: Avoid breathing mist or vapours.</w:t>
            </w:r>
          </w:p>
          <w:p w14:paraId="64B63ECF">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eye protection/ face protection.</w:t>
            </w:r>
          </w:p>
          <w:p w14:paraId="3F77BEF3">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3BB97A92">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657B9513">
            <w:pPr>
              <w:rPr>
                <w:rFonts w:hint="default" w:ascii="Segoe UI" w:hAnsi="Segoe UI"/>
                <w:sz w:val="16"/>
                <w:szCs w:val="16"/>
                <w:highlight w:val="none"/>
                <w:lang w:val="en-US"/>
              </w:rPr>
            </w:pPr>
            <w:r>
              <w:rPr>
                <w:rFonts w:hint="default" w:ascii="Segoe UI" w:hAnsi="Segoe UI"/>
                <w:sz w:val="16"/>
                <w:szCs w:val="16"/>
                <w:highlight w:val="none"/>
                <w:lang w:val="en-US"/>
              </w:rPr>
              <w:t xml:space="preserve">several minutes. Remove contact lenses, if present and easy to do. </w:t>
            </w:r>
          </w:p>
          <w:p w14:paraId="7AD6F9F1">
            <w:pPr>
              <w:rPr>
                <w:rFonts w:hint="default" w:ascii="Segoe UI" w:hAnsi="Segoe UI"/>
                <w:sz w:val="16"/>
                <w:szCs w:val="16"/>
                <w:highlight w:val="none"/>
                <w:lang w:val="en-US"/>
              </w:rPr>
            </w:pPr>
            <w:r>
              <w:rPr>
                <w:rFonts w:hint="default" w:ascii="Segoe UI" w:hAnsi="Segoe UI"/>
                <w:sz w:val="16"/>
                <w:szCs w:val="16"/>
                <w:highlight w:val="none"/>
                <w:lang w:val="en-US"/>
              </w:rPr>
              <w:t>Continue rinsing.</w:t>
            </w:r>
          </w:p>
          <w:p w14:paraId="0805190F">
            <w:pPr>
              <w:rPr>
                <w:rFonts w:hint="default" w:ascii="Segoe UI" w:hAnsi="Segoe UI"/>
                <w:sz w:val="16"/>
                <w:szCs w:val="16"/>
                <w:highlight w:val="none"/>
                <w:lang w:val="en-US"/>
              </w:rPr>
            </w:pPr>
            <w:r>
              <w:rPr>
                <w:rFonts w:hint="default" w:ascii="Segoe UI" w:hAnsi="Segoe UI"/>
                <w:sz w:val="16"/>
                <w:szCs w:val="16"/>
                <w:highlight w:val="none"/>
                <w:lang w:val="en-US"/>
              </w:rPr>
              <w:t xml:space="preserve">P333 + P313: If skin irritation or rash occurs: Get medical advice/ </w:t>
            </w:r>
          </w:p>
          <w:p w14:paraId="685B74F9">
            <w:pPr>
              <w:rPr>
                <w:rFonts w:hint="default" w:ascii="Segoe UI" w:hAnsi="Segoe UI"/>
                <w:sz w:val="16"/>
                <w:szCs w:val="16"/>
                <w:highlight w:val="none"/>
                <w:lang w:val="en-US"/>
              </w:rPr>
            </w:pPr>
            <w:r>
              <w:rPr>
                <w:rFonts w:hint="default" w:ascii="Segoe UI" w:hAnsi="Segoe UI"/>
                <w:sz w:val="16"/>
                <w:szCs w:val="16"/>
                <w:highlight w:val="none"/>
                <w:lang w:val="en-US"/>
              </w:rPr>
              <w:t>attention.</w:t>
            </w:r>
          </w:p>
          <w:p w14:paraId="614E54CF">
            <w:pPr>
              <w:rPr>
                <w:rFonts w:hint="default" w:ascii="Segoe UI" w:hAnsi="Segoe UI"/>
                <w:sz w:val="16"/>
                <w:szCs w:val="16"/>
                <w:highlight w:val="none"/>
                <w:lang w:val="en-US"/>
              </w:rPr>
            </w:pPr>
            <w:r>
              <w:rPr>
                <w:rFonts w:hint="default" w:ascii="Segoe UI" w:hAnsi="Segoe UI"/>
                <w:sz w:val="16"/>
                <w:szCs w:val="16"/>
                <w:highlight w:val="none"/>
                <w:lang w:val="en-US"/>
              </w:rPr>
              <w:t>P337 + P313: If eye irritation persists: Get medical advice/ attention.</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46FDA88A">
            <w:pPr>
              <w:rPr>
                <w:rFonts w:hint="default" w:ascii="Segoe UI" w:hAnsi="Segoe UI"/>
                <w:sz w:val="16"/>
                <w:szCs w:val="16"/>
                <w:lang w:val="en-US"/>
              </w:rPr>
            </w:pPr>
            <w:r>
              <w:rPr>
                <w:rFonts w:hint="default" w:ascii="Segoe UI" w:hAnsi="Segoe UI"/>
                <w:sz w:val="16"/>
                <w:szCs w:val="16"/>
                <w:lang w:val="en-US"/>
              </w:rPr>
              <w:t>Causes skin irritation.</w:t>
            </w:r>
          </w:p>
          <w:p w14:paraId="4EA1DDA9">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212.00 °F (&gt; 100.00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1" w:type="dxa"/>
                  <w:shd w:val="clear" w:color="auto" w:fill="BEBEBE" w:themeFill="background1" w:themeFillShade="BF"/>
                </w:tcPr>
                <w:p w14:paraId="42EB4996">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760EFDA8">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3C14FCA7">
                  <w:pPr>
                    <w:jc w:val="center"/>
                    <w:rPr>
                      <w:rFonts w:ascii="Segoe UI" w:hAnsi="Segoe UI" w:cs="Segoe UI"/>
                      <w:sz w:val="16"/>
                      <w:szCs w:val="16"/>
                      <w:highlight w:val="none"/>
                      <w:lang w:val="en-US"/>
                    </w:rPr>
                  </w:pPr>
                  <w:r>
                    <w:rPr>
                      <w:rFonts w:hint="default" w:ascii="Segoe UI" w:hAnsi="Segoe UI" w:cs="Segoe UI"/>
                      <w:sz w:val="16"/>
                      <w:szCs w:val="16"/>
                      <w:highlight w:val="none"/>
                      <w:lang w:val="pt-BR"/>
                    </w:rPr>
                    <w:t>1</w:t>
                  </w:r>
                  <w:r>
                    <w:rPr>
                      <w:rFonts w:ascii="Segoe UI" w:hAnsi="Segoe UI" w:cs="Segoe UI"/>
                      <w:sz w:val="16"/>
                      <w:szCs w:val="16"/>
                      <w:highlight w:val="none"/>
                      <w:lang w:val="en-US"/>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1F9E1CD2">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California permissible exposure </w:t>
                  </w:r>
                </w:p>
                <w:p w14:paraId="0863592E">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limits for chemical contaminants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(Title 8, Article 107)</w:t>
                  </w:r>
                </w:p>
              </w:tc>
              <w:tc>
                <w:tcPr>
                  <w:tcW w:w="2574" w:type="dxa"/>
                </w:tcPr>
                <w:p w14:paraId="11E60475">
                  <w:pPr>
                    <w:jc w:val="center"/>
                    <w:rPr>
                      <w:rFonts w:ascii="Segoe UI" w:hAnsi="Segoe UI" w:cs="Segoe UI"/>
                      <w:sz w:val="16"/>
                      <w:szCs w:val="16"/>
                      <w:highlight w:val="none"/>
                      <w:lang w:val="en-US"/>
                    </w:rPr>
                  </w:pPr>
                  <w:r>
                    <w:rPr>
                      <w:rFonts w:hint="default" w:ascii="Segoe UI" w:hAnsi="Segoe UI"/>
                      <w:sz w:val="16"/>
                      <w:szCs w:val="16"/>
                      <w:highlight w:val="none"/>
                      <w:lang w:val="en-US"/>
                    </w:rPr>
                    <w:t>Permissible exposure limit</w:t>
                  </w:r>
                </w:p>
              </w:tc>
              <w:tc>
                <w:tcPr>
                  <w:tcW w:w="2672" w:type="dxa"/>
                </w:tcPr>
                <w:p w14:paraId="53D2111F">
                  <w:pPr>
                    <w:jc w:val="center"/>
                    <w:rPr>
                      <w:rFonts w:hint="default" w:ascii="Segoe UI" w:hAnsi="Segoe UI"/>
                      <w:sz w:val="16"/>
                      <w:szCs w:val="16"/>
                      <w:highlight w:val="none"/>
                      <w:lang w:val="en-US"/>
                    </w:rPr>
                  </w:pPr>
                  <w:r>
                    <w:rPr>
                      <w:rFonts w:hint="default" w:ascii="Segoe UI" w:hAnsi="Segoe UI"/>
                      <w:sz w:val="16"/>
                      <w:szCs w:val="16"/>
                      <w:highlight w:val="none"/>
                      <w:lang w:val="en-US"/>
                    </w:rPr>
                    <w:t>10 ppm</w:t>
                  </w:r>
                </w:p>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61 mg/m3</w:t>
                  </w:r>
                </w:p>
              </w:tc>
            </w:tr>
          </w:tbl>
          <w:p w14:paraId="5C68397F">
            <w:pPr>
              <w:rPr>
                <w:rFonts w:ascii="Segoe UI" w:hAnsi="Segoe UI" w:cs="Segoe UI"/>
                <w:sz w:val="16"/>
                <w:szCs w:val="16"/>
                <w:highlight w:val="none"/>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none"/>
                <w:lang w:val="en-US"/>
              </w:rPr>
              <w:t>212.00 °F (&gt; 100.00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(BENZYL BENZOATE)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(BENZYL BENZOATE)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(BENZYL BENZOATE)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7C515834">
            <w:pPr>
              <w:rPr>
                <w:rFonts w:hint="default" w:ascii="Segoe UI" w:hAnsi="Segoe UI"/>
                <w:sz w:val="16"/>
                <w:szCs w:val="16"/>
                <w:highlight w:val="none"/>
                <w:lang w:val="pt-BR"/>
              </w:rPr>
            </w:pPr>
            <w:r>
              <w:rPr>
                <w:rFonts w:hint="default" w:ascii="Segoe UI" w:hAnsi="Segoe UI"/>
                <w:sz w:val="16"/>
                <w:szCs w:val="16"/>
                <w:highlight w:val="none"/>
                <w:lang w:val="en-US"/>
              </w:rPr>
              <w:t>Respiratory or skin sensitisation</w:t>
            </w:r>
            <w:r>
              <w:rPr>
                <w:rFonts w:hint="default" w:ascii="Segoe UI" w:hAnsi="Segoe UI"/>
                <w:sz w:val="16"/>
                <w:szCs w:val="16"/>
                <w:highlight w:val="none"/>
                <w:lang w:val="pt-BR"/>
              </w:rPr>
              <w:t>.</w:t>
            </w:r>
          </w:p>
          <w:p w14:paraId="3706F99B">
            <w:pPr>
              <w:rPr>
                <w:rFonts w:hint="default" w:ascii="Segoe UI" w:hAnsi="Segoe UI"/>
                <w:sz w:val="16"/>
                <w:szCs w:val="16"/>
                <w:highlight w:val="none"/>
                <w:lang w:val="pt-BR"/>
              </w:rPr>
            </w:pPr>
            <w:r>
              <w:rPr>
                <w:rFonts w:hint="default" w:ascii="Segoe UI" w:hAnsi="Segoe UI"/>
                <w:sz w:val="16"/>
                <w:szCs w:val="16"/>
                <w:highlight w:val="none"/>
                <w:lang w:val="en-US"/>
              </w:rPr>
              <w:t>Skin corrosion or irritation</w:t>
            </w:r>
            <w:r>
              <w:rPr>
                <w:rFonts w:hint="default" w:ascii="Segoe UI" w:hAnsi="Segoe UI"/>
                <w:sz w:val="16"/>
                <w:szCs w:val="16"/>
                <w:highlight w:val="none"/>
                <w:lang w:val="pt-BR"/>
              </w:rPr>
              <w:t>.</w:t>
            </w:r>
          </w:p>
          <w:p w14:paraId="67F55A44">
            <w:pPr>
              <w:rPr>
                <w:rFonts w:hint="default" w:ascii="Segoe UI" w:hAnsi="Segoe UI" w:cs="Segoe UI"/>
                <w:sz w:val="16"/>
                <w:szCs w:val="16"/>
                <w:highlight w:val="none"/>
                <w:lang w:val="pt-BR"/>
              </w:rPr>
            </w:pPr>
            <w:r>
              <w:rPr>
                <w:rFonts w:hint="default" w:ascii="Segoe UI" w:hAnsi="Segoe UI"/>
                <w:sz w:val="16"/>
                <w:szCs w:val="16"/>
                <w:highlight w:val="none"/>
                <w:lang w:val="en-US"/>
              </w:rPr>
              <w:t>Serious eye damage or eye irritation</w:t>
            </w:r>
            <w:r>
              <w:rPr>
                <w:rFonts w:hint="default" w:ascii="Segoe UI" w:hAnsi="Segoe UI"/>
                <w:sz w:val="16"/>
                <w:szCs w:val="16"/>
                <w:highlight w:val="none"/>
                <w:lang w:val="pt-BR"/>
              </w:rPr>
              <w:t>.</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0"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7CC77753">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393531CB">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SCE810545 NICHT ORCHID CANDLE</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2025/2/6</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BD7103D"/>
    <w:rsid w:val="2CF72FC0"/>
    <w:rsid w:val="2D361156"/>
    <w:rsid w:val="2DC401BA"/>
    <w:rsid w:val="2EA51BD1"/>
    <w:rsid w:val="388317D5"/>
    <w:rsid w:val="3C4715D7"/>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1671</Words>
  <Characters>9926</Characters>
  <TotalTime>0</TotalTime>
  <ScaleCrop>false</ScaleCrop>
  <LinksUpToDate>false</LinksUpToDate>
  <CharactersWithSpaces>11421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2025-02-06T15:49:16Z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